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27839">
      <w:pPr>
        <w:divId w:val="1956131527"/>
        <w:rPr>
          <w:rFonts w:eastAsia="Times New Roman"/>
          <w:vanish/>
        </w:rPr>
      </w:pPr>
      <w:r>
        <w:rPr>
          <w:rFonts w:eastAsia="Times New Roman"/>
          <w:vanish/>
        </w:rPr>
        <w:t xml:space="preserve">SUBURBAN PROPANE PARTNERS LP 0001005210 --09-28 Large Accelerated Filer 61735197 FY false 0.0050 0.005 Less than 65 percent Between 65 and less than 80 percent At least 80 percent P3M 0.0050 P10Y P5Y 0.005 0.00 0.00 0.00 0.00 0.00 0.00 0.00 0.00 0.00 </w:t>
      </w:r>
      <w:r>
        <w:rPr>
          <w:rFonts w:eastAsia="Times New Roman"/>
          <w:vanish/>
        </w:rPr>
        <w:t>0.00 0.00 0.00 0.00 0.00 0.00 0.00 0.00 0.00 NA false 2024-08-31 NA true 2021-03-31 NA false 2021-02-28 0001005210 2018-09-30 2019-09-28 iso4217:USD 0001005210 2019-03-29 xbrli:shares 0001005210 2019-09-28 0001005210 2018-09-29 0001005210 sph:PropaneMember</w:t>
      </w:r>
      <w:r>
        <w:rPr>
          <w:rFonts w:eastAsia="Times New Roman"/>
          <w:vanish/>
        </w:rPr>
        <w:t xml:space="preserve"> 2018-09-30 2019-09-28 0001005210 sph:PropaneMember 2017-10-01 2018-09-29 0001005210 sph:PropaneMember 2016-09-25 2017-09-30 0001005210 sph:FuelOilAndRefinedFuelsMember 2018-09-30 2019-09-28 0001005210 sph:FuelOilAndRefinedFuelsMember 2017-10-01 2018-09-29</w:t>
      </w:r>
      <w:r>
        <w:rPr>
          <w:rFonts w:eastAsia="Times New Roman"/>
          <w:vanish/>
        </w:rPr>
        <w:t xml:space="preserve"> 0001005210 sph:FuelOilAndRefinedFuelsMember 2016-09-25 2017-09-30 0001005210 sph:NaturalGasAndElectricityMember 2018-09-30 2019-09-28 0001005210 sph:NaturalGasAndElectricityMember 2017-10-01 2018-09-29 0001005210 sph:NaturalGasAndElectricityMember 2016-09</w:t>
      </w:r>
      <w:r>
        <w:rPr>
          <w:rFonts w:eastAsia="Times New Roman"/>
          <w:vanish/>
        </w:rPr>
        <w:t>-25 2017-09-30 0001005210 sph:OtherSalesRevenueNetMember 2018-09-30 2019-09-28 0001005210 sph:OtherSalesRevenueNetMember 2017-10-01 2018-09-29 0001005210 sph:OtherSalesRevenueNetMember 2016-09-25 2017-09-30 0001005210 2017-10-01 2018-09-29 0001005210 2016-</w:t>
      </w:r>
      <w:r>
        <w:rPr>
          <w:rFonts w:eastAsia="Times New Roman"/>
          <w:vanish/>
        </w:rPr>
        <w:t>09-25 2017-09-30 iso4217:USD xbrli:shares 0001005210 2017-09-30 0001005210 2016-09-24 0001005210 us-gaap:CommonStockMember 2016-09-24 0001005210 us-gaap:AccumulatedOtherComprehensiveIncomeMember 2016-09-24 0001005210 us-gaap:CommonStockMember 2016-09-25 20</w:t>
      </w:r>
      <w:r>
        <w:rPr>
          <w:rFonts w:eastAsia="Times New Roman"/>
          <w:vanish/>
        </w:rPr>
        <w:t>17-09-30 0001005210 us-gaap:AccumulatedOtherComprehensiveIncomeMember 2016-09-25 2017-09-30 0001005210 us-gaap:CommonStockMember 2017-09-30 0001005210 us-gaap:AccumulatedOtherComprehensiveIncomeMember 2017-09-30 0001005210 us-gaap:CommonStockMember 2017-10</w:t>
      </w:r>
      <w:r>
        <w:rPr>
          <w:rFonts w:eastAsia="Times New Roman"/>
          <w:vanish/>
        </w:rPr>
        <w:t>-01 2018-09-29 0001005210 us-gaap:AccumulatedOtherComprehensiveIncomeMember 2017-10-01 2018-09-29 0001005210 us-gaap:CommonStockMember 2018-09-29 0001005210 us-gaap:AccumulatedOtherComprehensiveIncomeMember 2018-09-29 0001005210 us-gaap:CommonStockMember 2</w:t>
      </w:r>
      <w:r>
        <w:rPr>
          <w:rFonts w:eastAsia="Times New Roman"/>
          <w:vanish/>
        </w:rPr>
        <w:t>018-09-30 2019-09-28 0001005210 us-gaap:AccumulatedOtherComprehensiveIncomeMember 2018-09-30 2019-09-28 0001005210 us-gaap:CommonStockMember 2019-09-28 0001005210 us-gaap:AccumulatedOtherComprehensiveIncomeMember 2019-09-28 0001005210 us-gaap:SeniorNotesMe</w:t>
      </w:r>
      <w:r>
        <w:rPr>
          <w:rFonts w:eastAsia="Times New Roman"/>
          <w:vanish/>
        </w:rPr>
        <w:t>mber sph:SeniorNotesDue2024Member 2018-09-30 2019-09-28 0001005210 us-gaap:SeniorNotesMember sph:SeniorNotesDue2025Member 2018-09-30 2019-09-28 0001005210 us-gaap:SeniorNotesMember sph:SeniorNotesDue2027Member 2018-09-30 2019-09-28 0001005210 us-gaap:Gener</w:t>
      </w:r>
      <w:r>
        <w:rPr>
          <w:rFonts w:eastAsia="Times New Roman"/>
          <w:vanish/>
        </w:rPr>
        <w:t>alPartnerMember us-gaap:CommonStockMember 2019-09-28 xbrli:pure sph:Customer sph:Location sph:State 0001005210 sph:SuburbanPropanePartnersLPMember 2018-09-30 2019-09-28 utr:WK 0001005210 us-gaap:FederalFundsEffectiveSwapRateMember 2018-09-30 2019-09-28 000</w:t>
      </w:r>
      <w:r>
        <w:rPr>
          <w:rFonts w:eastAsia="Times New Roman"/>
          <w:vanish/>
        </w:rPr>
        <w:t>1005210 us-gaap:LondonInterbankOfferedRateLIBORMember 2018-09-30 2019-09-28 0001005210 us-gaap:BuildingMember 2018-09-30 2019-09-28 0001005210 sph:BuildingAndLandImprovementsMember 2018-09-30 2019-09-28 0001005210 us-gaap:TransportationEquipmentMember srt:</w:t>
      </w:r>
      <w:r>
        <w:rPr>
          <w:rFonts w:eastAsia="Times New Roman"/>
          <w:vanish/>
        </w:rPr>
        <w:t>MinimumMember 2018-09-30 2019-09-28 0001005210 us-gaap:TransportationEquipmentMember srt:MaximumMember 2018-09-30 2019-09-28 0001005210 sph:StorageFacilitiesMember srt:MinimumMember 2018-09-30 2019-09-28 0001005210 sph:StorageFacilitiesMember srt:MaximumMe</w:t>
      </w:r>
      <w:r>
        <w:rPr>
          <w:rFonts w:eastAsia="Times New Roman"/>
          <w:vanish/>
        </w:rPr>
        <w:t>mber 2018-09-30 2019-09-28 0001005210 us-gaap:OfficeEquipmentMember srt:MinimumMember 2018-09-30 2019-09-28 0001005210 us-gaap:OfficeEquipmentMember srt:MaximumMember 2018-09-30 2019-09-28 0001005210 sph:EquipmentPrimarilyTanksAndCylindersMember srt:Minimu</w:t>
      </w:r>
      <w:r>
        <w:rPr>
          <w:rFonts w:eastAsia="Times New Roman"/>
          <w:vanish/>
        </w:rPr>
        <w:t>mMember 2018-09-30 2019-09-28 0001005210 sph:EquipmentPrimarilyTanksAndCylindersMember srt:MaximumMember 2018-09-30 2019-09-28 0001005210 us-gaap:ComputerSoftwareIntangibleAssetMember srt:MinimumMember 2018-09-30 2019-09-28 0001005210 us-gaap:ComputerSoftw</w:t>
      </w:r>
      <w:r>
        <w:rPr>
          <w:rFonts w:eastAsia="Times New Roman"/>
          <w:vanish/>
        </w:rPr>
        <w:t>areIntangibleAssetMember srt:MaximumMember 2018-09-30 2019-09-28 0001005210 sph:StorageFacilitiesMember srt:WeightedAverageMember 2018-09-30 2019-09-28 0001005210 sph:EquipmentPrimarilyTanksAndCylindersMember srt:WeightedAverageMember 2018-09-30 2019-09-28</w:t>
      </w:r>
      <w:r>
        <w:rPr>
          <w:rFonts w:eastAsia="Times New Roman"/>
          <w:vanish/>
        </w:rPr>
        <w:t xml:space="preserve"> sph:Partnership 0001005210 srt:MinimumMember us-gaap:SubsequentEventMember 2019-09-29 0001005210 srt:MaximumMember us-gaap:SubsequentEventMember 2019-09-29 0001005210 us-gaap:RetailMember sph:ResidentialSectorMember 2018-09-30 2019-09-28 0001005210 us-gaa</w:t>
      </w:r>
      <w:r>
        <w:rPr>
          <w:rFonts w:eastAsia="Times New Roman"/>
          <w:vanish/>
        </w:rPr>
        <w:t>p:RetailMember sph:ResidentialSectorMember 2017-10-01 2018-09-29 0001005210 us-gaap:RetailMember sph:ResidentialSectorMember 2016-09-25 2017-09-30 0001005210 us-gaap:RetailMember sph:CommercialSectorMember 2018-09-30 2019-09-28 0001005210 us-gaap:RetailMem</w:t>
      </w:r>
      <w:r>
        <w:rPr>
          <w:rFonts w:eastAsia="Times New Roman"/>
          <w:vanish/>
        </w:rPr>
        <w:t>ber sph:CommercialSectorMember 2017-10-01 2018-09-29 0001005210 us-gaap:RetailMember sph:CommercialSectorMember 2016-09-25 2017-09-30 0001005210 us-gaap:RetailMember sph:IndustrialSectorMember 2018-09-30 2019-09-28 0001005210 us-gaap:RetailMember sph:Indus</w:t>
      </w:r>
      <w:r>
        <w:rPr>
          <w:rFonts w:eastAsia="Times New Roman"/>
          <w:vanish/>
        </w:rPr>
        <w:t>trialSectorMember 2017-10-01 2018-09-29 0001005210 us-gaap:RetailMember sph:IndustrialSectorMember 2016-09-25 2017-09-30 0001005210 us-gaap:RetailMember us-gaap:AgriculturalSectorMember 2018-09-30 2019-09-28 0001005210 us-gaap:RetailMember us-gaap:Agricult</w:t>
      </w:r>
      <w:r>
        <w:rPr>
          <w:rFonts w:eastAsia="Times New Roman"/>
          <w:vanish/>
        </w:rPr>
        <w:t>uralSectorMember 2017-10-01 2018-09-29 0001005210 us-gaap:RetailMember us-gaap:AgriculturalSectorMember 2016-09-25 2017-09-30 0001005210 us-gaap:RetailMember us-gaap:GovernmentSectorMember 2018-09-30 2019-09-28 0001005210 us-gaap:RetailMember us-gaap:Gover</w:t>
      </w:r>
      <w:r>
        <w:rPr>
          <w:rFonts w:eastAsia="Times New Roman"/>
          <w:vanish/>
        </w:rPr>
        <w:t>nmentSectorMember 2017-10-01 2018-09-29 0001005210 us-gaap:RetailMember us-gaap:GovernmentSectorMember 2016-09-25 2017-09-30 0001005210 sph:WholesaleMember 2018-09-30 2019-09-28 0001005210 sph:WholesaleMember 2017-10-01 2018-09-29 0001005210 sph:WholesaleM</w:t>
      </w:r>
      <w:r>
        <w:rPr>
          <w:rFonts w:eastAsia="Times New Roman"/>
          <w:vanish/>
        </w:rPr>
        <w:t>ember 2016-09-25 2017-09-30 0001005210 2019-06-26 2019-06-26 0001005210 us-gaap:NoncompeteAgreementsMember 2019-06-26 2019-06-26 0001005210 2019-06-26 0001005210 2019-06-12 2019-06-12 0001005210 us-gaap:NoncompeteAgreementsMember 2019-06-12 2019-06-12 0001</w:t>
      </w:r>
      <w:r>
        <w:rPr>
          <w:rFonts w:eastAsia="Times New Roman"/>
          <w:vanish/>
        </w:rPr>
        <w:t>005210 2019-06-12 2019-09-28 0001005210 2019-02-06 2019-02-06 0001005210 us-gaap:NoncompeteAgreementsMember 2019-02-06 2019-02-06 0001005210 2019-02-06 2019-09-28 0001005210 2018-04-05 2018-04-05 0001005210 us-gaap:NoncompeteAgreementsMember 2018-04-05 201</w:t>
      </w:r>
      <w:r>
        <w:rPr>
          <w:rFonts w:eastAsia="Times New Roman"/>
          <w:vanish/>
        </w:rPr>
        <w:t>8-04-05 0001005210 2018-04-05 2018-09-29 0001005210 2017-12-08 2017-12-08 0001005210 2017-10-01 2017-12-30 0001005210 2017-11-07 2017-11-07 0001005210 us-gaap:NoncompeteAgreementsMember 2017-11-07 2017-11-07 0001005210 2017-11-07 2018-09-29 0001005210 2018</w:t>
      </w:r>
      <w:r>
        <w:rPr>
          <w:rFonts w:eastAsia="Times New Roman"/>
          <w:vanish/>
        </w:rPr>
        <w:t>-09-30 2018-12-29 0001005210 2018-12-30 2019-03-30 0001005210 2019-03-31 2019-06-29 0001005210 2019-06-30 2019-09-28 0001005210 2018-01-01 2018-03-31 0001005210 2018-04-01 2018-06-30 0001005210 2018-07-01 2018-09-29 0001005210 2016-09-25 2016-12-24 0001005</w:t>
      </w:r>
      <w:r>
        <w:rPr>
          <w:rFonts w:eastAsia="Times New Roman"/>
          <w:vanish/>
        </w:rPr>
        <w:t>210 2016-12-25 2017-03-25 0001005210 2017-03-26 2017-06-24 0001005210 2017-06-25 2017-09-30 0001005210 us-gaap:LandAndLandImprovementsMember 2019-09-28 0001005210 us-gaap:LandAndLandImprovementsMember 2018-09-29 0001005210 us-gaap:BuildingAndBuildingImprov</w:t>
      </w:r>
      <w:r>
        <w:rPr>
          <w:rFonts w:eastAsia="Times New Roman"/>
          <w:vanish/>
        </w:rPr>
        <w:t>ementsMember 2019-09-28 0001005210 us-gaap:BuildingAndBuildingImprovementsMember 2018-09-29 0001005210 us-gaap:TransportationEquipmentMember 2019-09-28 0001005210 us-gaap:TransportationEquipmentMember 2018-09-29 0001005210 sph:StorageFacilitiesMember 2019-</w:t>
      </w:r>
      <w:r>
        <w:rPr>
          <w:rFonts w:eastAsia="Times New Roman"/>
          <w:vanish/>
        </w:rPr>
        <w:t>09-28 0001005210 sph:StorageFacilitiesMember 2018-09-29 0001005210 sph:EquipmentPrimarilyTanksAndCylindersMember 2019-09-28 0001005210 sph:EquipmentPrimarilyTanksAndCylindersMember 2018-09-29 0001005210 sph:SoftwareMember 2019-09-28 0001005210 sph:Software</w:t>
      </w:r>
      <w:r>
        <w:rPr>
          <w:rFonts w:eastAsia="Times New Roman"/>
          <w:vanish/>
        </w:rPr>
        <w:t>Member 2018-09-29 0001005210 us-gaap:ConstructionInProgressMember 2019-09-28 0001005210 us-gaap:ConstructionInProgressMember 2018-09-29 0001005210 sph:PropaneMember 2018-09-29 0001005210 sph:FuelOilAndRefinedFuelsMember 2018-09-29 0001005210 sph:NaturalGas</w:t>
      </w:r>
      <w:r>
        <w:rPr>
          <w:rFonts w:eastAsia="Times New Roman"/>
          <w:vanish/>
        </w:rPr>
        <w:t>AndElectricityMember 2018-09-29 0001005210 sph:PropaneMember 2018-09-30 2019-09-28 0001005210 sph:FuelOilAndRefinedFuelsMember 2018-09-30 2019-09-28 0001005210 sph:NaturalGasAndElectricityMember 2018-09-30 2019-09-28 0001005210 sph:PropaneMember 2019-09-28</w:t>
      </w:r>
      <w:r>
        <w:rPr>
          <w:rFonts w:eastAsia="Times New Roman"/>
          <w:vanish/>
        </w:rPr>
        <w:t xml:space="preserve"> 0001005210 sph:FuelOilAndRefinedFuelsMember 2019-09-28 0001005210 sph:NaturalGasAndElectricityMember 2019-09-28 0001005210 us-gaap:CustomerRelationshipsMember 2019-09-28 0001005210 us-gaap:CustomerRelationshipsMember 2018-09-29 0001005210 us-gaap:Noncompe</w:t>
      </w:r>
      <w:r>
        <w:rPr>
          <w:rFonts w:eastAsia="Times New Roman"/>
          <w:vanish/>
        </w:rPr>
        <w:t>teAgreementsMember 2019-09-28 0001005210 us-gaap:NoncompeteAgreementsMember 2018-09-29 0001005210 us-gaap:OtherIntangibleAssetsMember 2019-09-28 0001005210 us-gaap:OtherIntangibleAssetsMember 2018-09-29 0001005210 sph:SeniorNotesDue2024Member us-gaap:Senio</w:t>
      </w:r>
      <w:r>
        <w:rPr>
          <w:rFonts w:eastAsia="Times New Roman"/>
          <w:vanish/>
        </w:rPr>
        <w:t>rNotesMember 2019-09-28 0001005210 sph:SeniorNotesDue2024Member us-gaap:SeniorNotesMember 2018-09-29 0001005210 sph:SeniorNotesDue2025Member us-gaap:SeniorNotesMember 2019-09-28 0001005210 sph:SeniorNotesDue2025Member us-gaap:SeniorNotesMember 2018-09-29 0</w:t>
      </w:r>
      <w:r>
        <w:rPr>
          <w:rFonts w:eastAsia="Times New Roman"/>
          <w:vanish/>
        </w:rPr>
        <w:t>001005210 sph:SeniorNotesDue2027Member us-gaap:SeniorNotesMember 2019-09-28 0001005210 sph:SeniorNotesDue2027Member us-gaap:SeniorNotesMember 2018-09-29 0001005210 us-gaap:RevolvingCreditFacilityMember 2019-09-28 0001005210 us-gaap:RevolvingCreditFacilityM</w:t>
      </w:r>
      <w:r>
        <w:rPr>
          <w:rFonts w:eastAsia="Times New Roman"/>
          <w:vanish/>
        </w:rPr>
        <w:t>ember 2018-09-29 0001005210 sph:SeniorNotesDue2024Member 2019-09-28 0001005210 sph:SeniorNotesDue2024Member 2018-09-29 0001005210 sph:SeniorNotesDue2024Member 2018-09-30 2019-09-28 0001005210 sph:SeniorNotesDue2025Member 2019-09-28 0001005210 sph:SeniorNot</w:t>
      </w:r>
      <w:r>
        <w:rPr>
          <w:rFonts w:eastAsia="Times New Roman"/>
          <w:vanish/>
        </w:rPr>
        <w:t>esDue2025Member 2018-09-29 0001005210 sph:SeniorNotesDue2025Member 2018-09-30 2019-09-28 0001005210 sph:SeniorNotesDue2027Member 2019-09-28 0001005210 sph:SeniorNotesDue2027Member 2018-09-29 0001005210 sph:SeniorNotesDue2027Member 2018-09-30 2019-09-28 000</w:t>
      </w:r>
      <w:r>
        <w:rPr>
          <w:rFonts w:eastAsia="Times New Roman"/>
          <w:vanish/>
        </w:rPr>
        <w:t>1005210 us-gaap:RevolvingCreditFacilityMember 2018-09-30 2019-09-28 0001005210 sph:SeniorNotesDue2018Member us-gaap:SeniorNotesMember 2019-09-28 0001005210 us-gaap:DebtInstrumentRedemptionPeriodOneMember sph:SeniorNotesDue2024Member us-gaap:SeniorNotesMemb</w:t>
      </w:r>
      <w:r>
        <w:rPr>
          <w:rFonts w:eastAsia="Times New Roman"/>
          <w:vanish/>
        </w:rPr>
        <w:t>er 2018-09-30 2019-09-28 0001005210 us-gaap:DebtInstrumentRedemptionPeriodTwoMember sph:SeniorNotesDue2024Member us-gaap:SeniorNotesMember 2018-09-30 2019-09-28 0001005210 us-gaap:DebtInstrumentRedemptionPeriodThreeMember sph:SeniorNotesDue2024Member us-ga</w:t>
      </w:r>
      <w:r>
        <w:rPr>
          <w:rFonts w:eastAsia="Times New Roman"/>
          <w:vanish/>
        </w:rPr>
        <w:t>ap:SeniorNotesMember 2018-09-30 2019-09-28 0001005210 sph:DebtInstrumentRedemptionPeriodFourAndThereafterMember sph:SeniorNotesDue2024Member us-gaap:SeniorNotesMember 2018-09-30 2019-09-28 0001005210 sph:SeniorNotesDue2020Member us-gaap:SeniorNotesMember 2</w:t>
      </w:r>
      <w:r>
        <w:rPr>
          <w:rFonts w:eastAsia="Times New Roman"/>
          <w:vanish/>
        </w:rPr>
        <w:t>019-09-28 0001005210 sph:SeniorNotesDue2025Member us-gaap:DebtInstrumentRedemptionPeriodTwoMember us-gaap:SeniorNotesMember 2018-09-30 2019-09-28 0001005210 sph:SeniorNotesDue2025Member us-gaap:DebtInstrumentRedemptionPeriodThreeMember us-gaap:SeniorNotesM</w:t>
      </w:r>
      <w:r>
        <w:rPr>
          <w:rFonts w:eastAsia="Times New Roman"/>
          <w:vanish/>
        </w:rPr>
        <w:t>ember 2018-09-30 2019-09-28 0001005210 sph:SeniorNotesDue2025Member us-gaap:DebtInstrumentRedemptionPeriodFourMember us-gaap:SeniorNotesMember 2018-09-30 2019-09-28 0001005210 sph:SeniorNotesDue2025Member sph:DebtInstrumentRedemptionPeriodFiveAndThereafter</w:t>
      </w:r>
      <w:r>
        <w:rPr>
          <w:rFonts w:eastAsia="Times New Roman"/>
          <w:vanish/>
        </w:rPr>
        <w:t>Member us-gaap:SeniorNotesMember 2018-09-30 2019-09-28 0001005210 sph:SeniorNoteDue2021Member us-gaap:SeniorNotesMember 2019-09-28 0001005210 sph:SeniorNoteDue2021Member us-gaap:SeniorNotesMember 2017-02-14 2017-02-14 0001005210 sph:SeniorNotesDue2027Membe</w:t>
      </w:r>
      <w:r>
        <w:rPr>
          <w:rFonts w:eastAsia="Times New Roman"/>
          <w:vanish/>
        </w:rPr>
        <w:t>r us-gaap:DebtInstrumentRedemptionPeriodFourMember us-gaap:SeniorNotesMember 2018-09-30 2019-09-28 0001005210 sph:SeniorNotesDue2027Member us-gaap:DebtInstrumentRedemptionPeriodFiveMember us-gaap:SeniorNotesMember 2018-09-30 2019-09-28 0001005210 sph:Senio</w:t>
      </w:r>
      <w:r>
        <w:rPr>
          <w:rFonts w:eastAsia="Times New Roman"/>
          <w:vanish/>
        </w:rPr>
        <w:t>rNotesDue2027Member sph:DebtInstrumentRedemptionPeriodSixMember us-gaap:SeniorNotesMember 2018-09-30 2019-09-28 0001005210 sph:SeniorNotesDue2027Member sph:DebtInstrumentRedemptionPeriodSevenAndThereafterMember us-gaap:SeniorNotesMember 2018-09-30 2019-09-</w:t>
      </w:r>
      <w:r>
        <w:rPr>
          <w:rFonts w:eastAsia="Times New Roman"/>
          <w:vanish/>
        </w:rPr>
        <w:t>28 0001005210 us-gaap:RevolvingCreditFacilityMember sph:AmendedRevolvingCreditFacilityDue2021Member 2016-03-02 2016-03-03 0001005210 us-gaap:RevolvingCreditFacilityMember sph:AmendedRevolvingCreditFacilityDue2021Member 2016-03-03 0001005210 sph:AmendedRevo</w:t>
      </w:r>
      <w:r>
        <w:rPr>
          <w:rFonts w:eastAsia="Times New Roman"/>
          <w:vanish/>
        </w:rPr>
        <w:t>lvingCreditFacilityDue2021Member 2019-06-30 2019-09-28 0001005210 sph:AmendedRevolvingCreditFacilityDue2021Member 2018-07-01 2018-09-29 0001005210 sph:AmendedRevolvingCreditFacilityDue2021Member 2018-09-30 2018-12-29 0001005210 sph:AmendedRevolvingCreditFa</w:t>
      </w:r>
      <w:r>
        <w:rPr>
          <w:rFonts w:eastAsia="Times New Roman"/>
          <w:vanish/>
        </w:rPr>
        <w:t>cilityDue2021Member 2018-12-30 2019-03-30 0001005210 sph:AmendedRevolvingCreditFacilityDue2021Member 2019-03-31 2019-06-29 0001005210 sph:AmendedRevolvingCreditFacilityDue2021Member us-gaap:FederalFundsEffectiveSwapRateMember 2018-09-30 2019-09-28 00010052</w:t>
      </w:r>
      <w:r>
        <w:rPr>
          <w:rFonts w:eastAsia="Times New Roman"/>
          <w:vanish/>
        </w:rPr>
        <w:t>10 sph:AmendedRevolvingCreditFacilityDue2021Member us-gaap:LondonInterbankOfferedRateLIBORMember 2018-09-30 2019-09-28 0001005210 sph:AmendedRevolvingCreditFacilityDue2021Member 2019-09-28 0001005210 sph:AmendedRevolvingCreditFacilityDue2017Member 2018-09-</w:t>
      </w:r>
      <w:r>
        <w:rPr>
          <w:rFonts w:eastAsia="Times New Roman"/>
          <w:vanish/>
        </w:rPr>
        <w:t>30 2019-09-28 0001005210 sph:AmendedRevolvingCreditFacilityDue2017Member 2019-09-28 0001005210 sph:SeniorNoteDue2021Member us-gaap:SeniorNotesMember 2016-09-25 2017-09-30 0001005210 sph:SeniorNotesDue2027Member us-gaap:SeniorNotesMember 2017-09-30 00010052</w:t>
      </w:r>
      <w:r>
        <w:rPr>
          <w:rFonts w:eastAsia="Times New Roman"/>
          <w:vanish/>
        </w:rPr>
        <w:t>10 sph:AmendedRevolvingCreditFacilityDue2021Member us-gaap:RevolvingCreditFacilityMember 2019-09-28 0001005210 sph:AmendedRevolvingCreditFacilityDue2021Member us-gaap:RevolvingCreditFacilityMember 2018-09-29 0001005210 sph:TwoThousandAndNineRestrictedUnitP</w:t>
      </w:r>
      <w:r>
        <w:rPr>
          <w:rFonts w:eastAsia="Times New Roman"/>
          <w:vanish/>
        </w:rPr>
        <w:t>lanMember 2019-09-28 0001005210 srt:MaximumMember us-gaap:RestrictedStockUnitsRSUMember 2019-09-28 0001005210 srt:MaximumMember us-gaap:RestrictedStockUnitsRSUMember us-gaap:ShareBasedCompensationAwardTrancheOneMember 2018-09-30 2019-09-28 0001005210 sph:T</w:t>
      </w:r>
      <w:r>
        <w:rPr>
          <w:rFonts w:eastAsia="Times New Roman"/>
          <w:vanish/>
        </w:rPr>
        <w:t>woThousandAndNineRestrictedUnitPlanMember 2018-09-30 2019-09-28 0001005210 sph:TwoThousandAndNineRestrictedUnitPlanMember 2016-09-24 0001005210 sph:TwoThousandAndNineRestrictedUnitPlanMember 2016-09-25 2017-09-30 0001005210 sph:TwoThousandAndNineRestricted</w:t>
      </w:r>
      <w:r>
        <w:rPr>
          <w:rFonts w:eastAsia="Times New Roman"/>
          <w:vanish/>
        </w:rPr>
        <w:t>UnitPlanMember 2017-09-30 0001005210 sph:TwoThousandAndNineRestrictedUnitPlanMember 2017-10-01 2018-09-29 0001005210 sph:TwoThousandAndNineRestrictedUnitPlanMember 2018-09-29 0001005210 sph:TwoThousandAndNineRestrictedUnitPlanMember srt:ExecutiveOfficerMem</w:t>
      </w:r>
      <w:r>
        <w:rPr>
          <w:rFonts w:eastAsia="Times New Roman"/>
          <w:vanish/>
        </w:rPr>
        <w:t>ber 2018-09-30 2019-09-28 0001005210 sph:TwoThousandAndNineRestrictedUnitPlanMember srt:ExecutiveOfficerMember 2017-10-01 2018-09-29 0001005210 sph:TwoThousandAndNineRestrictedUnitPlanMember srt:ExecutiveOfficerMember 2016-09-25 2017-09-30 0001005210 us-ga</w:t>
      </w:r>
      <w:r>
        <w:rPr>
          <w:rFonts w:eastAsia="Times New Roman"/>
          <w:vanish/>
        </w:rPr>
        <w:t>ap:RestrictedStockUnitsRSUMember 2019-09-28 0001005210 us-gaap:RestrictedStockUnitsRSUMember 2018-09-30 2019-09-28 0001005210 us-gaap:RestrictedStockUnitsRSUMember 2017-10-01 2018-09-29 0001005210 us-gaap:RestrictedStockUnitsRSUMember 2016-09-25 2017-09-30</w:t>
      </w:r>
      <w:r>
        <w:rPr>
          <w:rFonts w:eastAsia="Times New Roman"/>
          <w:vanish/>
        </w:rPr>
        <w:t xml:space="preserve"> 0001005210 sph:DistributionEquivalentRightsPlanMember 2018-09-30 2019-09-28 0001005210 sph:DistributionEquivalentRightsPlanMember 2017-10-01 2018-09-29 0001005210 sph:LongTermIncentivePlanMember 2018-09-30 2019-09-28 0001005210 sph:LongTermIncentivePlanMe</w:t>
      </w:r>
      <w:r>
        <w:rPr>
          <w:rFonts w:eastAsia="Times New Roman"/>
          <w:vanish/>
        </w:rPr>
        <w:t>mber 2017-10-01 2018-09-29 0001005210 sph:LongTermIncentivePlanMember 2016-09-25 2017-09-30 0001005210 sph:RetirementSavingsAndInvestmentPlan401KMember 2018-09-30 2019-09-28 0001005210 sph:RetirementSavingsAndInvestmentPlan401KMember srt:MaximumMember 2018</w:t>
      </w:r>
      <w:r>
        <w:rPr>
          <w:rFonts w:eastAsia="Times New Roman"/>
          <w:vanish/>
        </w:rPr>
        <w:t xml:space="preserve">-09-30 2019-09-28 0001005210 sph:RetirementSavingsAndInvestmentPlan401KMember 2017-10-01 2018-09-29 0001005210 sph:RetirementSavingsAndInvestmentPlan401KMember 2016-09-25 2017-09-30 0001005210 us-gaap:PensionPlansDefinedBenefitMember 2018-09-30 2019-09-28 </w:t>
      </w:r>
      <w:r>
        <w:rPr>
          <w:rFonts w:eastAsia="Times New Roman"/>
          <w:vanish/>
        </w:rPr>
        <w:t>0001005210 us-gaap:PensionPlansDefinedBenefitMember 2017-10-01 2018-09-29 0001005210 us-gaap:PensionPlansDefinedBenefitMember 2016-09-25 2017-09-30 0001005210 us-gaap:PensionPlansDefinedBenefitMember 2018-09-29 0001005210 us-gaap:PensionPlansDefinedBenefit</w:t>
      </w:r>
      <w:r>
        <w:rPr>
          <w:rFonts w:eastAsia="Times New Roman"/>
          <w:vanish/>
        </w:rPr>
        <w:t>Member 2017-09-30 0001005210 sph:DefinedBenefitPostretirementHealthAndLifeBenefitsMember 2018-09-29 0001005210 sph:DefinedBenefitPostretirementHealthAndLifeBenefitsMember 2017-09-30 0001005210 sph:DefinedBenefitPostretirementHealthAndLifeBenefitsMember 201</w:t>
      </w:r>
      <w:r>
        <w:rPr>
          <w:rFonts w:eastAsia="Times New Roman"/>
          <w:vanish/>
        </w:rPr>
        <w:t>8-09-30 2019-09-28 0001005210 sph:DefinedBenefitPostretirementHealthAndLifeBenefitsMember 2017-10-01 2018-09-29 0001005210 us-gaap:PensionPlansDefinedBenefitMember 2019-09-28 0001005210 sph:DefinedBenefitPostretirementHealthAndLifeBenefitsMember 2019-09-28</w:t>
      </w:r>
      <w:r>
        <w:rPr>
          <w:rFonts w:eastAsia="Times New Roman"/>
          <w:vanish/>
        </w:rPr>
        <w:t xml:space="preserve"> sph:Member 0001005210 us-gaap:PensionPlansDefinedBenefitMember us-gaap:FixedIncomeSecuritiesMember srt:MinimumMember 2019-09-28 0001005210 us-gaap:PensionPlansDefinedBenefitMember us-gaap:FixedIncomeSecuritiesMember srt:MaximumMember 2019-09-28 0001005210</w:t>
      </w:r>
      <w:r>
        <w:rPr>
          <w:rFonts w:eastAsia="Times New Roman"/>
          <w:vanish/>
        </w:rPr>
        <w:t xml:space="preserve"> us-gaap:PensionPlansDefinedBenefitMember us-gaap:EquitySecuritiesMember srt:MinimumMember 2019-09-28 0001005210 us-gaap:PensionPlansDefinedBenefitMember us-gaap:EquitySecuritiesMember srt:MaximumMember 2019-09-28 0001005210 us-gaap:FixedIncomeSecuritiesMe</w:t>
      </w:r>
      <w:r>
        <w:rPr>
          <w:rFonts w:eastAsia="Times New Roman"/>
          <w:vanish/>
        </w:rPr>
        <w:t>mber country:US 2019-09-28 0001005210 us-gaap:FixedIncomeSecuritiesMember country:US 2018-09-29 0001005210 us-gaap:EquitySecuritiesMember country:US 2019-09-28 0001005210 us-gaap:EquitySecuritiesMember country:US 2018-09-29 0001005210 country:US 2019-09-28</w:t>
      </w:r>
      <w:r>
        <w:rPr>
          <w:rFonts w:eastAsia="Times New Roman"/>
          <w:vanish/>
        </w:rPr>
        <w:t xml:space="preserve"> 0001005210 country:US 2018-09-29 0001005210 us-gaap:PensionPlansDefinedBenefitMember us-gaap:ShortTermInvestmentsMember 2019-09-28 0001005210 us-gaap:PensionPlansDefinedBenefitMember us-gaap:ShortTermInvestmentsMember 2018-09-29 0001005210 us-gaap:Pension</w:t>
      </w:r>
      <w:r>
        <w:rPr>
          <w:rFonts w:eastAsia="Times New Roman"/>
          <w:vanish/>
        </w:rPr>
        <w:t>PlansDefinedBenefitMember sph:DomesticEquitySecuritiesMember 2019-09-28 0001005210 us-gaap:PensionPlansDefinedBenefitMember sph:DomesticEquitySecuritiesMember 2018-09-29 0001005210 us-gaap:PensionPlansDefinedBenefitMember sph:InternationalEquitySecuritiesM</w:t>
      </w:r>
      <w:r>
        <w:rPr>
          <w:rFonts w:eastAsia="Times New Roman"/>
          <w:vanish/>
        </w:rPr>
        <w:t>ember 2019-09-28 0001005210 us-gaap:PensionPlansDefinedBenefitMember sph:InternationalEquitySecuritiesMember 2018-09-29 0001005210 us-gaap:PensionPlansDefinedBenefitMember us-gaap:FixedIncomeSecuritiesMember 2019-09-28 0001005210 us-gaap:PensionPlansDefine</w:t>
      </w:r>
      <w:r>
        <w:rPr>
          <w:rFonts w:eastAsia="Times New Roman"/>
          <w:vanish/>
        </w:rPr>
        <w:t>dBenefitMember us-gaap:FixedIncomeSecuritiesMember 2018-09-29 0001005210 sph:DefinedBenefitPostretirementHealthAndLifeBenefitsMember 2016-09-25 2017-09-30 0001005210 2013-09-28 sph:Multiemployerpensionplan 0001005210 2012-09-30 2013-09-28 0001005210 2015-0</w:t>
      </w:r>
      <w:r>
        <w:rPr>
          <w:rFonts w:eastAsia="Times New Roman"/>
          <w:vanish/>
        </w:rPr>
        <w:t>9-27 2016-09-24 0001005210 2014-09-28 2015-09-26 0001005210 sph:RedMember 2018-09-30 2019-09-28 0001005210 sph:YellowMember 2018-09-30 2019-09-28 0001005210 sph:GreenMember 2018-09-30 2019-09-28 0001005210 sph:MultiEmployerPlanIndividuallyInsignificantMult</w:t>
      </w:r>
      <w:r>
        <w:rPr>
          <w:rFonts w:eastAsia="Times New Roman"/>
          <w:vanish/>
        </w:rPr>
        <w:t>iEmployerPlan1Member us-gaap:PensionPlansDefinedBenefitMember 2018-09-30 2019-09-28 0001005210 sph:MultiEmployerPlanIndividuallyInsignificantMultiEmployerPlan2Member us-gaap:PensionPlansDefinedBenefitMember 2018-09-30 2019-09-28 0001005210 sph:MultiEmploye</w:t>
      </w:r>
      <w:r>
        <w:rPr>
          <w:rFonts w:eastAsia="Times New Roman"/>
          <w:vanish/>
        </w:rPr>
        <w:t>rPlanIndividuallyInsignificantMultiEmployerPlan3Member us-gaap:PensionPlansDefinedBenefitMember 2018-09-30 2019-09-28 0001005210 sph:MultiEmployerPlanIndividuallyInsignificantMultiEmployerPlan1Member us-gaap:PensionPlansDefinedBenefitMember 2017-10-01 2018</w:t>
      </w:r>
      <w:r>
        <w:rPr>
          <w:rFonts w:eastAsia="Times New Roman"/>
          <w:vanish/>
        </w:rPr>
        <w:t>-09-29 0001005210 sph:MultiEmployerPlanIndividuallyInsignificantMultiEmployerPlan2Member us-gaap:PensionPlansDefinedBenefitMember 2017-10-01 2018-09-29 0001005210 sph:MultiEmployerPlanIndividuallyInsignificantMultiEmployerPlan3Member us-gaap:PensionPlansDe</w:t>
      </w:r>
      <w:r>
        <w:rPr>
          <w:rFonts w:eastAsia="Times New Roman"/>
          <w:vanish/>
        </w:rPr>
        <w:t>finedBenefitMember 2017-10-01 2018-09-29 0001005210 sph:MultiEmployerPlanIndividuallyInsignificantMultiEmployerPlan1Member us-gaap:PensionPlansDefinedBenefitMember 2016-09-25 2017-09-30 0001005210 sph:MultiEmployerPlanIndividuallyInsignificantMultiEmployer</w:t>
      </w:r>
      <w:r>
        <w:rPr>
          <w:rFonts w:eastAsia="Times New Roman"/>
          <w:vanish/>
        </w:rPr>
        <w:t>Plan2Member us-gaap:PensionPlansDefinedBenefitMember 2016-09-25 2017-09-30 0001005210 sph:MultiEmployerPlanIndividuallyInsignificantMultiEmployerPlan3Member us-gaap:PensionPlansDefinedBenefitMember 2016-09-25 2017-09-30 0001005210 sph:HealthAndWelfareBenef</w:t>
      </w:r>
      <w:r>
        <w:rPr>
          <w:rFonts w:eastAsia="Times New Roman"/>
          <w:vanish/>
        </w:rPr>
        <w:t>itsAndDefinedAnnuityPlansMember 2018-09-30 2019-09-28 0001005210 sph:HealthAndWelfareBenefitsAndDefinedAnnuityPlansMember 2017-10-01 2018-09-29 0001005210 sph:HealthAndWelfareBenefitsAndDefinedAnnuityPlansMember 2016-09-25 2017-09-30 0001005210 us-gaap:Oth</w:t>
      </w:r>
      <w:r>
        <w:rPr>
          <w:rFonts w:eastAsia="Times New Roman"/>
          <w:vanish/>
        </w:rPr>
        <w:t>erCurrentAssetsMember us-gaap:CommodityOptionMember us-gaap:NondesignatedMember 2019-09-28 0001005210 us-gaap:OtherCurrentAssetsMember us-gaap:CommodityOptionMember us-gaap:NondesignatedMember 2018-09-29 0001005210 us-gaap:OtherNoncurrentAssetsMember us-ga</w:t>
      </w:r>
      <w:r>
        <w:rPr>
          <w:rFonts w:eastAsia="Times New Roman"/>
          <w:vanish/>
        </w:rPr>
        <w:t>ap:CommodityOptionMember us-gaap:NondesignatedMember 2019-09-28 0001005210 us-gaap:OtherNoncurrentAssetsMember us-gaap:CommodityOptionMember us-gaap:NondesignatedMember 2018-09-29 0001005210 us-gaap:NondesignatedMember 2019-09-28 0001005210 us-gaap:Nondesi</w:t>
      </w:r>
      <w:r>
        <w:rPr>
          <w:rFonts w:eastAsia="Times New Roman"/>
          <w:vanish/>
        </w:rPr>
        <w:t>gnatedMember 2018-09-29 0001005210 us-gaap:OtherCurrentLiabilitiesMember us-gaap:CommodityOptionMember us-gaap:NondesignatedMember 2019-09-28 0001005210 us-gaap:OtherCurrentLiabilitiesMember us-gaap:CommodityOptionMember us-gaap:NondesignatedMember 2018-09</w:t>
      </w:r>
      <w:r>
        <w:rPr>
          <w:rFonts w:eastAsia="Times New Roman"/>
          <w:vanish/>
        </w:rPr>
        <w:t>-29 0001005210 us-gaap:OtherNoncurrentLiabilitiesMember us-gaap:CommodityOptionMember us-gaap:NondesignatedMember 2019-09-28 0001005210 us-gaap:OtherNoncurrentLiabilitiesMember us-gaap:CommodityOptionMember us-gaap:NondesignatedMember 2018-09-29 0001005210</w:t>
      </w:r>
      <w:r>
        <w:rPr>
          <w:rFonts w:eastAsia="Times New Roman"/>
          <w:vanish/>
        </w:rPr>
        <w:t xml:space="preserve"> us-gaap:CommodityContractMember 2018-09-30 2019-09-28 0001005210 us-gaap:CommodityContractMember 2017-10-01 2018-09-29 0001005210 us-gaap:InterestRateSwapMember us-gaap:DesignatedAsHedgingInstrumentMember us-gaap:InterestExpenseMember 2018-09-30 2019-09-2</w:t>
      </w:r>
      <w:r>
        <w:rPr>
          <w:rFonts w:eastAsia="Times New Roman"/>
          <w:vanish/>
        </w:rPr>
        <w:t xml:space="preserve">8 0001005210 us-gaap:InterestRateSwapMember us-gaap:DesignatedAsHedgingInstrumentMember us-gaap:InterestExpenseMember 2017-10-01 2018-09-29 0001005210 us-gaap:InterestRateSwapMember us-gaap:DesignatedAsHedgingInstrumentMember us-gaap:InterestExpenseMember </w:t>
      </w:r>
      <w:r>
        <w:rPr>
          <w:rFonts w:eastAsia="Times New Roman"/>
          <w:vanish/>
        </w:rPr>
        <w:t xml:space="preserve">2016-09-25 2017-09-30 0001005210 us-gaap:CostOfSalesMember us-gaap:NondesignatedMember us-gaap:CommodityOptionMember 2018-09-30 2019-09-28 0001005210 us-gaap:CostOfSalesMember us-gaap:NondesignatedMember us-gaap:CommodityOptionMember 2017-10-01 2018-09-29 </w:t>
      </w:r>
      <w:r>
        <w:rPr>
          <w:rFonts w:eastAsia="Times New Roman"/>
          <w:vanish/>
        </w:rPr>
        <w:t>0001005210 us-gaap:CostOfSalesMember us-gaap:NondesignatedMember us-gaap:CommodityOptionMember 2016-09-25 2017-09-30 0001005210 us-gaap:CommodityOptionMember 2019-09-28 0001005210 us-gaap:CommodityOptionMember 2018-09-29 0001005210 us-gaap:SupplierConcentr</w:t>
      </w:r>
      <w:r>
        <w:rPr>
          <w:rFonts w:eastAsia="Times New Roman"/>
          <w:vanish/>
        </w:rPr>
        <w:t>ationRiskMember us-gaap:CostOfGoodsProductLineMember sph:CrestwoodEquityPartnersLPMember 2018-09-30 2019-09-28 0001005210 us-gaap:SupplierConcentrationRiskMember us-gaap:CostOfGoodsProductLineMember sph:TargaLiquidsMarketingAndTradeLLCMember 2018-09-30 201</w:t>
      </w:r>
      <w:r>
        <w:rPr>
          <w:rFonts w:eastAsia="Times New Roman"/>
          <w:vanish/>
        </w:rPr>
        <w:t xml:space="preserve">9-09-28 0001005210 us-gaap:SupplierConcentrationRiskMember us-gaap:CostOfGoodsProductLineMember sph:EnterpriseProductsPartnersLPMember 2018-09-30 2019-09-28 0001005210 us-gaap:SupplierConcentrationRiskMember us-gaap:CostOfGoodsProductLineMember 2019-09-28 </w:t>
      </w:r>
      <w:r>
        <w:rPr>
          <w:rFonts w:eastAsia="Times New Roman"/>
          <w:vanish/>
        </w:rPr>
        <w:t xml:space="preserve">sph:Action 0001005210 us-gaap:AccumulatedGainLossNetCashFlowHedgeParentMember 2018-09-29 0001005210 us-gaap:AccumulatedGainLossNetCashFlowHedgeParentMember 2017-09-30 0001005210 us-gaap:AccumulatedGainLossNetCashFlowHedgeParentMember 2016-09-24 0001005210 </w:t>
      </w:r>
      <w:r>
        <w:rPr>
          <w:rFonts w:eastAsia="Times New Roman"/>
          <w:vanish/>
        </w:rPr>
        <w:t xml:space="preserve">us-gaap:AccumulatedGainLossNetCashFlowHedgeParentMember 2018-09-30 2019-09-28 0001005210 us-gaap:AccumulatedGainLossNetCashFlowHedgeParentMember 2017-10-01 2018-09-29 0001005210 us-gaap:AccumulatedGainLossNetCashFlowHedgeParentMember 2016-09-25 2017-09-30 </w:t>
      </w:r>
      <w:r>
        <w:rPr>
          <w:rFonts w:eastAsia="Times New Roman"/>
          <w:vanish/>
        </w:rPr>
        <w:t>0001005210 us-gaap:AccumulatedGainLossNetCashFlowHedgeParentMember 2019-09-28 0001005210 us-gaap:AccumulatedDefinedBenefitPlansAdjustmentMember 2018-09-29 0001005210 us-gaap:AccumulatedDefinedBenefitPlansAdjustmentMember 2017-09-30 0001005210 us-gaap:Accum</w:t>
      </w:r>
      <w:r>
        <w:rPr>
          <w:rFonts w:eastAsia="Times New Roman"/>
          <w:vanish/>
        </w:rPr>
        <w:t>ulatedDefinedBenefitPlansAdjustmentMember 2016-09-24 0001005210 us-gaap:AccumulatedDefinedBenefitPlansAdjustmentMember 2018-09-30 2019-09-28 0001005210 us-gaap:AccumulatedDefinedBenefitPlansAdjustmentMember 2017-10-01 2018-09-29 0001005210 us-gaap:Accumula</w:t>
      </w:r>
      <w:r>
        <w:rPr>
          <w:rFonts w:eastAsia="Times New Roman"/>
          <w:vanish/>
        </w:rPr>
        <w:t>tedDefinedBenefitPlansAdjustmentMember 2016-09-25 2017-09-30 0001005210 us-gaap:AccumulatedDefinedBenefitPlansAdjustmentNetUnamortizedGainLossMember 2018-09-30 2019-09-28 0001005210 us-gaap:AccumulatedDefinedBenefitPlansAdjustmentNetUnamortizedGainLossMemb</w:t>
      </w:r>
      <w:r>
        <w:rPr>
          <w:rFonts w:eastAsia="Times New Roman"/>
          <w:vanish/>
        </w:rPr>
        <w:t xml:space="preserve">er 2017-10-01 2018-09-29 0001005210 us-gaap:AccumulatedDefinedBenefitPlansAdjustmentNetUnamortizedGainLossMember 2016-09-25 2017-09-30 0001005210 us-gaap:AccumulatedDefinedBenefitPlansAdjustmentMember 2019-09-28 0001005210 sph:PostRetirementBenefitsMember </w:t>
      </w:r>
      <w:r>
        <w:rPr>
          <w:rFonts w:eastAsia="Times New Roman"/>
          <w:vanish/>
        </w:rPr>
        <w:t>2018-09-29 0001005210 sph:PostRetirementBenefitsMember 2017-09-30 0001005210 sph:PostRetirementBenefitsMember 2016-09-24 0001005210 sph:PostRetirementBenefitsMember 2018-09-30 2019-09-28 0001005210 sph:PostRetirementBenefitsMember 2017-10-01 2018-09-29 000</w:t>
      </w:r>
      <w:r>
        <w:rPr>
          <w:rFonts w:eastAsia="Times New Roman"/>
          <w:vanish/>
        </w:rPr>
        <w:t>1005210 sph:PostRetirementBenefitsMember 2016-09-25 2017-09-30 0001005210 us-gaap:AccumulatedDefinedBenefitPlansAdjustmentNetPriorServiceCostCreditMember 2018-09-30 2019-09-28 0001005210 us-gaap:AccumulatedDefinedBenefitPlansAdjustmentNetPriorServiceCostCr</w:t>
      </w:r>
      <w:r>
        <w:rPr>
          <w:rFonts w:eastAsia="Times New Roman"/>
          <w:vanish/>
        </w:rPr>
        <w:t>editMember 2017-10-01 2018-09-29 0001005210 us-gaap:AccumulatedDefinedBenefitPlansAdjustmentNetPriorServiceCostCreditMember 2016-09-25 2017-09-30 0001005210 sph:AccumulatedDefinedBenefitPlansAdjustmentPostretirementBenefitsNetPriorServiceCostCreditMember 2</w:t>
      </w:r>
      <w:r>
        <w:rPr>
          <w:rFonts w:eastAsia="Times New Roman"/>
          <w:vanish/>
        </w:rPr>
        <w:t>018-09-30 2019-09-28 0001005210 sph:AccumulatedDefinedBenefitPlansAdjustmentPostretirementBenefitsNetPriorServiceCostCreditMember 2017-10-01 2018-09-29 0001005210 sph:AccumulatedDefinedBenefitPlansAdjustmentPostretirementBenefitsNetPriorServiceCostCreditMe</w:t>
      </w:r>
      <w:r>
        <w:rPr>
          <w:rFonts w:eastAsia="Times New Roman"/>
          <w:vanish/>
        </w:rPr>
        <w:t>mber 2016-09-25 2017-09-30 0001005210 sph:PostRetirementBenefitsMember 2019-09-28 sph:Segment 0001005210 sph:PropaneMember us-gaap:OperatingSegmentsMember 2018-09-30 2019-09-28 0001005210 sph:PropaneMember us-gaap:OperatingSegmentsMember 2017-10-01 2018-09</w:t>
      </w:r>
      <w:r>
        <w:rPr>
          <w:rFonts w:eastAsia="Times New Roman"/>
          <w:vanish/>
        </w:rPr>
        <w:t>-29 0001005210 sph:PropaneMember us-gaap:OperatingSegmentsMember 2016-09-25 2017-09-30 0001005210 sph:FuelOilAndRefinedFuelsMember us-gaap:OperatingSegmentsMember 2018-09-30 2019-09-28 0001005210 sph:FuelOilAndRefinedFuelsMember us-gaap:OperatingSegmentsMe</w:t>
      </w:r>
      <w:r>
        <w:rPr>
          <w:rFonts w:eastAsia="Times New Roman"/>
          <w:vanish/>
        </w:rPr>
        <w:t>mber 2017-10-01 2018-09-29 0001005210 sph:FuelOilAndRefinedFuelsMember us-gaap:OperatingSegmentsMember 2016-09-25 2017-09-30 0001005210 sph:NaturalGasAndElectricityMember us-gaap:OperatingSegmentsMember 2018-09-30 2019-09-28 0001005210 sph:NaturalGasAndEle</w:t>
      </w:r>
      <w:r>
        <w:rPr>
          <w:rFonts w:eastAsia="Times New Roman"/>
          <w:vanish/>
        </w:rPr>
        <w:t>ctricityMember us-gaap:OperatingSegmentsMember 2017-10-01 2018-09-29 0001005210 sph:NaturalGasAndElectricityMember us-gaap:OperatingSegmentsMember 2016-09-25 2017-09-30 0001005210 us-gaap:AllOtherSegmentsMember us-gaap:OperatingSegmentsMember 2018-09-30 20</w:t>
      </w:r>
      <w:r>
        <w:rPr>
          <w:rFonts w:eastAsia="Times New Roman"/>
          <w:vanish/>
        </w:rPr>
        <w:t>19-09-28 0001005210 us-gaap:AllOtherSegmentsMember us-gaap:OperatingSegmentsMember 2017-10-01 2018-09-29 0001005210 us-gaap:AllOtherSegmentsMember us-gaap:OperatingSegmentsMember 2016-09-25 2017-09-30 0001005210 us-gaap:CorporateMember us-gaap:OperatingSeg</w:t>
      </w:r>
      <w:r>
        <w:rPr>
          <w:rFonts w:eastAsia="Times New Roman"/>
          <w:vanish/>
        </w:rPr>
        <w:t>mentsMember 2018-09-30 2019-09-28 0001005210 us-gaap:CorporateMember us-gaap:OperatingSegmentsMember 2017-10-01 2018-09-29 0001005210 us-gaap:CorporateMember us-gaap:OperatingSegmentsMember 2016-09-25 2017-09-30 0001005210 sph:PropaneMember us-gaap:Operati</w:t>
      </w:r>
      <w:r>
        <w:rPr>
          <w:rFonts w:eastAsia="Times New Roman"/>
          <w:vanish/>
        </w:rPr>
        <w:t>ngSegmentsMember 2019-09-28 0001005210 sph:PropaneMember us-gaap:OperatingSegmentsMember 2018-09-29 0001005210 sph:FuelOilAndRefinedFuelsMember us-gaap:OperatingSegmentsMember 2019-09-28 0001005210 sph:FuelOilAndRefinedFuelsMember us-gaap:OperatingSegments</w:t>
      </w:r>
      <w:r>
        <w:rPr>
          <w:rFonts w:eastAsia="Times New Roman"/>
          <w:vanish/>
        </w:rPr>
        <w:t>Member 2018-09-29 0001005210 sph:NaturalGasAndElectricityMember us-gaap:OperatingSegmentsMember 2019-09-28 0001005210 sph:NaturalGasAndElectricityMember us-gaap:OperatingSegmentsMember 2018-09-29 0001005210 us-gaap:AllOtherSegmentsMember us-gaap:OperatingS</w:t>
      </w:r>
      <w:r>
        <w:rPr>
          <w:rFonts w:eastAsia="Times New Roman"/>
          <w:vanish/>
        </w:rPr>
        <w:t>egmentsMember 2019-09-28 0001005210 us-gaap:AllOtherSegmentsMember us-gaap:OperatingSegmentsMember 2018-09-29 0001005210 us-gaap:CorporateMember us-gaap:OperatingSegmentsMember 2019-09-28 0001005210 us-gaap:CorporateMember us-gaap:OperatingSegmentsMember 2</w:t>
      </w:r>
      <w:r>
        <w:rPr>
          <w:rFonts w:eastAsia="Times New Roman"/>
          <w:vanish/>
        </w:rPr>
        <w:t>018-09-29 0001005210 us-gaap:SubsequentEventMember 2019-10-30 2019-10-30 0001005210 us-gaap:NoncompeteAgreementsMember us-gaap:SubsequentEventMember 2019-10-30 2019-10-30 0001005210 us-gaap:AllowanceForCreditLossMember 2016-09-24 0001005210 us-gaap:Valuati</w:t>
      </w:r>
      <w:r>
        <w:rPr>
          <w:rFonts w:eastAsia="Times New Roman"/>
          <w:vanish/>
        </w:rPr>
        <w:t>onAllowanceOfDeferredTaxAssetsMember 2016-09-24 0001005210 us-gaap:AllowanceForCreditLossMember 2017-09-30 0001005210 us-gaap:ValuationAllowanceOfDeferredTaxAssetsMember 2017-09-30 0001005210 us-gaap:AllowanceForCreditLossMember 2018-09-29 0001005210 us-ga</w:t>
      </w:r>
      <w:r>
        <w:rPr>
          <w:rFonts w:eastAsia="Times New Roman"/>
          <w:vanish/>
        </w:rPr>
        <w:t>ap:ValuationAllowanceOfDeferredTaxAssetsMember 2018-09-29 0001005210 us-gaap:AllowanceForCreditLossMember 2016-09-25 2017-09-30 0001005210 us-gaap:ValuationAllowanceOfDeferredTaxAssetsMember 2016-09-25 2017-09-30 0001005210 us-gaap:AllowanceForCreditLossMe</w:t>
      </w:r>
      <w:r>
        <w:rPr>
          <w:rFonts w:eastAsia="Times New Roman"/>
          <w:vanish/>
        </w:rPr>
        <w:t xml:space="preserve">mber 2017-10-01 2018-09-29 0001005210 us-gaap:ValuationAllowanceOfDeferredTaxAssetsMember 2017-10-01 2018-09-29 0001005210 us-gaap:AllowanceForCreditLossMember 2018-09-30 2019-09-28 0001005210 us-gaap:ValuationAllowanceOfDeferredTaxAssetsMember 2018-09-30 </w:t>
      </w:r>
      <w:r>
        <w:rPr>
          <w:rFonts w:eastAsia="Times New Roman"/>
          <w:vanish/>
        </w:rPr>
        <w:t xml:space="preserve">2019-09-28 0001005210 us-gaap:AllowanceForCreditLossMember 2019-09-28 0001005210 us-gaap:ValuationAllowanceOfDeferredTaxAssetsMember 2019-09-28 </w: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pBdr>
          <w:top w:val="double" w:sz="6" w:space="1" w:color="auto"/>
        </w:pBdr>
        <w:spacing w:before="0" w:beforeAutospacing="0" w:after="0" w:afterAutospacing="0"/>
        <w:rPr>
          <w:sz w:val="8"/>
          <w:szCs w:val="8"/>
        </w:rPr>
      </w:pPr>
      <w:r>
        <w:rPr>
          <w:sz w:val="8"/>
          <w:szCs w:val="8"/>
        </w:rPr>
        <w:t> </w:t>
      </w:r>
    </w:p>
    <w:p w:rsidR="00000000" w:rsidRDefault="00827839">
      <w:pPr>
        <w:pStyle w:val="a3"/>
        <w:spacing w:before="80" w:beforeAutospacing="0" w:after="0" w:afterAutospacing="0"/>
        <w:jc w:val="center"/>
        <w:rPr>
          <w:b/>
          <w:bCs/>
          <w:sz w:val="34"/>
          <w:szCs w:val="34"/>
        </w:rPr>
      </w:pPr>
      <w:r>
        <w:rPr>
          <w:b/>
          <w:bCs/>
          <w:sz w:val="34"/>
          <w:szCs w:val="34"/>
        </w:rPr>
        <w:t>UNITED STATES</w:t>
      </w:r>
    </w:p>
    <w:p w:rsidR="00000000" w:rsidRDefault="00827839">
      <w:pPr>
        <w:pStyle w:val="a3"/>
        <w:spacing w:before="0" w:beforeAutospacing="0" w:after="0" w:afterAutospacing="0"/>
        <w:jc w:val="center"/>
        <w:rPr>
          <w:b/>
          <w:bCs/>
          <w:sz w:val="34"/>
          <w:szCs w:val="34"/>
        </w:rPr>
      </w:pPr>
      <w:r>
        <w:rPr>
          <w:b/>
          <w:bCs/>
          <w:sz w:val="34"/>
          <w:szCs w:val="34"/>
        </w:rPr>
        <w:t>SECURITIES AND EXCHANGE COMMISSION</w:t>
      </w:r>
    </w:p>
    <w:p w:rsidR="00000000" w:rsidRDefault="00827839">
      <w:pPr>
        <w:pStyle w:val="a3"/>
        <w:spacing w:before="0" w:beforeAutospacing="0" w:after="0" w:afterAutospacing="0"/>
        <w:jc w:val="center"/>
        <w:rPr>
          <w:b/>
          <w:bCs/>
          <w:sz w:val="23"/>
          <w:szCs w:val="23"/>
        </w:rPr>
      </w:pPr>
      <w:r>
        <w:rPr>
          <w:b/>
          <w:bCs/>
          <w:sz w:val="23"/>
          <w:szCs w:val="23"/>
        </w:rPr>
        <w:t>Washington, D.C. 20549</w:t>
      </w:r>
    </w:p>
    <w:p w:rsidR="00000000" w:rsidRDefault="00827839">
      <w:pPr>
        <w:pStyle w:val="a3"/>
        <w:pBdr>
          <w:bottom w:val="single" w:sz="8" w:space="1" w:color="auto"/>
        </w:pBdr>
        <w:spacing w:before="0" w:beforeAutospacing="0" w:after="0" w:afterAutospacing="0" w:line="40" w:lineRule="atLeast"/>
        <w:ind w:left="4762" w:right="4762"/>
        <w:jc w:val="center"/>
        <w:rPr>
          <w:sz w:val="9"/>
          <w:szCs w:val="9"/>
        </w:rPr>
      </w:pPr>
      <w:r>
        <w:rPr>
          <w:sz w:val="9"/>
          <w:szCs w:val="9"/>
        </w:rPr>
        <w:t> </w:t>
      </w:r>
    </w:p>
    <w:p w:rsidR="00000000" w:rsidRDefault="00827839">
      <w:pPr>
        <w:pStyle w:val="a3"/>
        <w:spacing w:before="80" w:beforeAutospacing="0" w:after="0" w:afterAutospacing="0"/>
        <w:jc w:val="center"/>
        <w:rPr>
          <w:b/>
          <w:bCs/>
          <w:sz w:val="34"/>
          <w:szCs w:val="34"/>
        </w:rPr>
      </w:pPr>
      <w:r>
        <w:rPr>
          <w:b/>
          <w:bCs/>
          <w:sz w:val="34"/>
          <w:szCs w:val="34"/>
        </w:rPr>
        <w:t>FORM 10-K</w:t>
      </w:r>
    </w:p>
    <w:p w:rsidR="00000000" w:rsidRDefault="00827839">
      <w:pPr>
        <w:pStyle w:val="a3"/>
        <w:pBdr>
          <w:bottom w:val="single" w:sz="8" w:space="1" w:color="auto"/>
        </w:pBdr>
        <w:spacing w:before="0" w:beforeAutospacing="0" w:after="0" w:afterAutospacing="0" w:line="40" w:lineRule="atLeast"/>
        <w:ind w:left="4762" w:right="4762"/>
        <w:jc w:val="center"/>
        <w:rPr>
          <w:sz w:val="9"/>
          <w:szCs w:val="9"/>
        </w:rPr>
      </w:pPr>
      <w:r>
        <w:rPr>
          <w:sz w:val="9"/>
          <w:szCs w:val="9"/>
        </w:rPr>
        <w:t> </w:t>
      </w:r>
    </w:p>
    <w:tbl>
      <w:tblPr>
        <w:tblW w:w="4500" w:type="pct"/>
        <w:tblCellMar>
          <w:left w:w="0" w:type="dxa"/>
          <w:right w:w="0" w:type="dxa"/>
        </w:tblCellMar>
        <w:tblLook w:val="04A0" w:firstRow="1" w:lastRow="0" w:firstColumn="1" w:lastColumn="0" w:noHBand="0" w:noVBand="1"/>
      </w:tblPr>
      <w:tblGrid>
        <w:gridCol w:w="250"/>
        <w:gridCol w:w="7225"/>
      </w:tblGrid>
      <w:tr w:rsidR="00000000">
        <w:trPr>
          <w:divId w:val="2052261474"/>
        </w:trPr>
        <w:tc>
          <w:tcPr>
            <w:tcW w:w="150" w:type="pct"/>
            <w:hideMark/>
          </w:tcPr>
          <w:p w:rsidR="00000000" w:rsidRDefault="00827839">
            <w:pPr>
              <w:pStyle w:val="a3"/>
              <w:spacing w:before="80" w:beforeAutospacing="0" w:after="0" w:afterAutospacing="0"/>
              <w:rPr>
                <w:rFonts w:ascii="Segoe UI Symbol" w:hAnsi="Segoe UI Symbol"/>
                <w:b/>
                <w:bCs/>
                <w:sz w:val="23"/>
                <w:szCs w:val="23"/>
              </w:rPr>
            </w:pPr>
            <w:r>
              <w:rPr>
                <w:rFonts w:ascii="Segoe UI Symbol" w:hAnsi="Segoe UI Symbol"/>
                <w:b/>
                <w:bCs/>
                <w:sz w:val="23"/>
                <w:szCs w:val="23"/>
              </w:rPr>
              <w:t>☒</w:t>
            </w:r>
          </w:p>
        </w:tc>
        <w:tc>
          <w:tcPr>
            <w:tcW w:w="4350" w:type="pct"/>
            <w:hideMark/>
          </w:tcPr>
          <w:p w:rsidR="00000000" w:rsidRDefault="00827839">
            <w:pPr>
              <w:pStyle w:val="a3"/>
              <w:spacing w:before="80" w:beforeAutospacing="0" w:after="0" w:afterAutospacing="0"/>
              <w:ind w:left="80"/>
              <w:rPr>
                <w:b/>
                <w:bCs/>
                <w:sz w:val="23"/>
                <w:szCs w:val="23"/>
              </w:rPr>
            </w:pPr>
            <w:r>
              <w:rPr>
                <w:b/>
                <w:bCs/>
                <w:sz w:val="23"/>
                <w:szCs w:val="23"/>
              </w:rPr>
              <w:t>Annual Report Pursuant to Section 13 or 15(d) of the Securities Exchange Act of 1934</w:t>
            </w:r>
          </w:p>
        </w:tc>
      </w:tr>
    </w:tbl>
    <w:p w:rsidR="00000000" w:rsidRDefault="00827839">
      <w:pPr>
        <w:pStyle w:val="a3"/>
        <w:spacing w:before="80" w:beforeAutospacing="0" w:after="80" w:afterAutospacing="0"/>
        <w:jc w:val="center"/>
        <w:rPr>
          <w:b/>
          <w:bCs/>
          <w:sz w:val="19"/>
          <w:szCs w:val="19"/>
        </w:rPr>
      </w:pPr>
      <w:r>
        <w:rPr>
          <w:b/>
          <w:bCs/>
          <w:sz w:val="19"/>
          <w:szCs w:val="19"/>
        </w:rPr>
        <w:t>For the fiscal year ended September 28, 2019</w:t>
      </w:r>
    </w:p>
    <w:tbl>
      <w:tblPr>
        <w:tblW w:w="4500" w:type="pct"/>
        <w:tblCellMar>
          <w:left w:w="0" w:type="dxa"/>
          <w:right w:w="0" w:type="dxa"/>
        </w:tblCellMar>
        <w:tblLook w:val="04A0" w:firstRow="1" w:lastRow="0" w:firstColumn="1" w:lastColumn="0" w:noHBand="0" w:noVBand="1"/>
      </w:tblPr>
      <w:tblGrid>
        <w:gridCol w:w="250"/>
        <w:gridCol w:w="7225"/>
      </w:tblGrid>
      <w:tr w:rsidR="00000000">
        <w:trPr>
          <w:divId w:val="1810123591"/>
        </w:trPr>
        <w:tc>
          <w:tcPr>
            <w:tcW w:w="150" w:type="pct"/>
            <w:hideMark/>
          </w:tcPr>
          <w:p w:rsidR="00000000" w:rsidRDefault="00827839">
            <w:pPr>
              <w:pStyle w:val="a3"/>
              <w:spacing w:before="80" w:beforeAutospacing="0" w:after="0" w:afterAutospacing="0"/>
              <w:rPr>
                <w:rFonts w:ascii="Segoe UI Symbol" w:hAnsi="Segoe UI Symbol"/>
                <w:b/>
                <w:bCs/>
                <w:sz w:val="23"/>
                <w:szCs w:val="23"/>
              </w:rPr>
            </w:pPr>
            <w:r>
              <w:rPr>
                <w:rFonts w:ascii="Segoe UI Symbol" w:hAnsi="Segoe UI Symbol"/>
                <w:b/>
                <w:bCs/>
                <w:sz w:val="23"/>
                <w:szCs w:val="23"/>
              </w:rPr>
              <w:t>☐</w:t>
            </w:r>
          </w:p>
        </w:tc>
        <w:tc>
          <w:tcPr>
            <w:tcW w:w="4350" w:type="pct"/>
            <w:hideMark/>
          </w:tcPr>
          <w:p w:rsidR="00000000" w:rsidRDefault="00827839">
            <w:pPr>
              <w:pStyle w:val="a3"/>
              <w:spacing w:before="80" w:beforeAutospacing="0" w:after="0" w:afterAutospacing="0"/>
              <w:ind w:left="80"/>
              <w:rPr>
                <w:b/>
                <w:bCs/>
                <w:sz w:val="23"/>
                <w:szCs w:val="23"/>
              </w:rPr>
            </w:pPr>
            <w:r>
              <w:rPr>
                <w:b/>
                <w:bCs/>
                <w:sz w:val="23"/>
                <w:szCs w:val="23"/>
              </w:rPr>
              <w:t>Transition Report Pursuant to Section 13 or 15(d) of the Securities Exchange Act of 1934</w:t>
            </w:r>
          </w:p>
        </w:tc>
      </w:tr>
    </w:tbl>
    <w:p w:rsidR="00000000" w:rsidRDefault="00827839">
      <w:pPr>
        <w:pStyle w:val="a3"/>
        <w:spacing w:before="80" w:beforeAutospacing="0" w:after="0" w:afterAutospacing="0"/>
        <w:jc w:val="center"/>
        <w:rPr>
          <w:b/>
          <w:bCs/>
          <w:sz w:val="19"/>
          <w:szCs w:val="19"/>
        </w:rPr>
      </w:pPr>
      <w:r>
        <w:rPr>
          <w:b/>
          <w:bCs/>
          <w:sz w:val="19"/>
          <w:szCs w:val="19"/>
        </w:rPr>
        <w:t>Commission File Number:  1-14222</w:t>
      </w:r>
    </w:p>
    <w:p w:rsidR="00000000" w:rsidRDefault="00827839">
      <w:pPr>
        <w:pStyle w:val="a3"/>
        <w:pBdr>
          <w:bottom w:val="single" w:sz="8" w:space="1" w:color="auto"/>
        </w:pBdr>
        <w:spacing w:before="0" w:beforeAutospacing="0" w:after="0" w:afterAutospacing="0" w:line="40" w:lineRule="atLeast"/>
        <w:ind w:left="4762" w:right="4762"/>
        <w:jc w:val="center"/>
        <w:rPr>
          <w:sz w:val="9"/>
          <w:szCs w:val="9"/>
        </w:rPr>
      </w:pPr>
      <w:r>
        <w:rPr>
          <w:sz w:val="9"/>
          <w:szCs w:val="9"/>
        </w:rPr>
        <w:t> </w:t>
      </w:r>
    </w:p>
    <w:p w:rsidR="00000000" w:rsidRDefault="00827839">
      <w:pPr>
        <w:pStyle w:val="a3"/>
        <w:spacing w:before="80" w:beforeAutospacing="0" w:after="0" w:afterAutospacing="0"/>
        <w:jc w:val="center"/>
        <w:rPr>
          <w:b/>
          <w:bCs/>
          <w:sz w:val="46"/>
          <w:szCs w:val="46"/>
        </w:rPr>
      </w:pPr>
      <w:r>
        <w:rPr>
          <w:b/>
          <w:bCs/>
          <w:sz w:val="46"/>
          <w:szCs w:val="46"/>
        </w:rPr>
        <w:t>SUBURBAN PROPANE PARTNERS, L.P.</w:t>
      </w:r>
    </w:p>
    <w:p w:rsidR="00000000" w:rsidRDefault="00827839">
      <w:pPr>
        <w:pStyle w:val="a3"/>
        <w:spacing w:before="0" w:beforeAutospacing="0" w:after="0" w:afterAutospacing="0"/>
        <w:jc w:val="center"/>
        <w:rPr>
          <w:b/>
          <w:bCs/>
          <w:sz w:val="19"/>
          <w:szCs w:val="19"/>
        </w:rPr>
      </w:pPr>
      <w:r>
        <w:rPr>
          <w:b/>
          <w:bCs/>
          <w:sz w:val="19"/>
          <w:szCs w:val="19"/>
        </w:rPr>
        <w:t>(Exact name of registrant as specified in its charter)</w:t>
      </w:r>
    </w:p>
    <w:p w:rsidR="00000000" w:rsidRDefault="00827839">
      <w:pPr>
        <w:pStyle w:val="a3"/>
        <w:pBdr>
          <w:bottom w:val="single" w:sz="8" w:space="1" w:color="auto"/>
        </w:pBdr>
        <w:spacing w:before="0" w:beforeAutospacing="0" w:after="0" w:afterAutospacing="0" w:line="40" w:lineRule="atLeast"/>
        <w:ind w:left="4762" w:right="4762"/>
        <w:jc w:val="center"/>
        <w:rPr>
          <w:sz w:val="9"/>
          <w:szCs w:val="9"/>
        </w:rPr>
      </w:pPr>
      <w:r>
        <w:rPr>
          <w:sz w:val="9"/>
          <w:szCs w:val="9"/>
        </w:rPr>
        <w:t> </w:t>
      </w:r>
    </w:p>
    <w:p w:rsidR="00000000" w:rsidRDefault="00827839">
      <w:pPr>
        <w:pStyle w:val="a3"/>
        <w:spacing w:before="0" w:beforeAutospacing="0" w:after="0" w:afterAutospacing="0"/>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4070"/>
        <w:gridCol w:w="168"/>
        <w:gridCol w:w="4068"/>
      </w:tblGrid>
      <w:tr w:rsidR="00000000">
        <w:trPr>
          <w:divId w:val="1779373829"/>
          <w:trHeight w:val="20"/>
        </w:trPr>
        <w:tc>
          <w:tcPr>
            <w:tcW w:w="2450" w:type="pct"/>
            <w:hideMark/>
          </w:tcPr>
          <w:p w:rsidR="00000000" w:rsidRDefault="00827839">
            <w:pPr>
              <w:pStyle w:val="a3"/>
              <w:spacing w:before="0" w:beforeAutospacing="0" w:after="0" w:afterAutospacing="0"/>
              <w:jc w:val="center"/>
              <w:rPr>
                <w:b/>
                <w:bCs/>
                <w:sz w:val="19"/>
                <w:szCs w:val="19"/>
              </w:rPr>
            </w:pPr>
            <w:r>
              <w:rPr>
                <w:b/>
                <w:bCs/>
                <w:sz w:val="19"/>
                <w:szCs w:val="19"/>
              </w:rPr>
              <w:t>Delaware</w:t>
            </w:r>
          </w:p>
        </w:tc>
        <w:tc>
          <w:tcPr>
            <w:tcW w:w="101" w:type="pct"/>
            <w:hideMark/>
          </w:tcPr>
          <w:p w:rsidR="00000000" w:rsidRDefault="00827839">
            <w:pPr>
              <w:pStyle w:val="a3"/>
              <w:spacing w:before="0" w:beforeAutospacing="0" w:after="0" w:afterAutospacing="0"/>
              <w:jc w:val="center"/>
              <w:rPr>
                <w:sz w:val="20"/>
                <w:szCs w:val="20"/>
              </w:rPr>
            </w:pPr>
            <w:r>
              <w:rPr>
                <w:sz w:val="20"/>
                <w:szCs w:val="20"/>
              </w:rPr>
              <w:t> </w:t>
            </w:r>
          </w:p>
        </w:tc>
        <w:tc>
          <w:tcPr>
            <w:tcW w:w="2450" w:type="pct"/>
            <w:hideMark/>
          </w:tcPr>
          <w:p w:rsidR="00000000" w:rsidRDefault="00827839">
            <w:pPr>
              <w:pStyle w:val="a3"/>
              <w:spacing w:before="0" w:beforeAutospacing="0" w:after="0" w:afterAutospacing="0"/>
              <w:jc w:val="center"/>
              <w:rPr>
                <w:b/>
                <w:bCs/>
                <w:sz w:val="19"/>
                <w:szCs w:val="19"/>
              </w:rPr>
            </w:pPr>
            <w:r>
              <w:rPr>
                <w:b/>
                <w:bCs/>
                <w:sz w:val="19"/>
                <w:szCs w:val="19"/>
              </w:rPr>
              <w:t>22-3410353</w:t>
            </w:r>
          </w:p>
        </w:tc>
      </w:tr>
      <w:tr w:rsidR="00000000">
        <w:trPr>
          <w:divId w:val="1779373829"/>
          <w:trHeight w:val="20"/>
        </w:trPr>
        <w:tc>
          <w:tcPr>
            <w:tcW w:w="2450" w:type="pct"/>
            <w:hideMark/>
          </w:tcPr>
          <w:p w:rsidR="00000000" w:rsidRDefault="00827839">
            <w:pPr>
              <w:pStyle w:val="a3"/>
              <w:spacing w:before="0" w:beforeAutospacing="0" w:after="0" w:afterAutospacing="0"/>
              <w:jc w:val="center"/>
              <w:rPr>
                <w:b/>
                <w:bCs/>
                <w:sz w:val="15"/>
                <w:szCs w:val="15"/>
              </w:rPr>
            </w:pPr>
            <w:r>
              <w:rPr>
                <w:b/>
                <w:bCs/>
                <w:sz w:val="15"/>
                <w:szCs w:val="15"/>
              </w:rPr>
              <w:t>(State or other jurisdiction of</w:t>
            </w:r>
          </w:p>
        </w:tc>
        <w:tc>
          <w:tcPr>
            <w:tcW w:w="101" w:type="pct"/>
            <w:hideMark/>
          </w:tcPr>
          <w:p w:rsidR="00000000" w:rsidRDefault="00827839">
            <w:pPr>
              <w:pStyle w:val="a3"/>
              <w:spacing w:before="0" w:beforeAutospacing="0" w:after="0" w:afterAutospacing="0"/>
              <w:jc w:val="center"/>
              <w:rPr>
                <w:b/>
                <w:bCs/>
                <w:sz w:val="15"/>
                <w:szCs w:val="15"/>
              </w:rPr>
            </w:pPr>
            <w:r>
              <w:rPr>
                <w:b/>
                <w:bCs/>
                <w:sz w:val="15"/>
                <w:szCs w:val="15"/>
              </w:rPr>
              <w:t> </w:t>
            </w:r>
          </w:p>
        </w:tc>
        <w:tc>
          <w:tcPr>
            <w:tcW w:w="2450" w:type="pct"/>
            <w:hideMark/>
          </w:tcPr>
          <w:p w:rsidR="00000000" w:rsidRDefault="00827839">
            <w:pPr>
              <w:pStyle w:val="a3"/>
              <w:spacing w:before="0" w:beforeAutospacing="0" w:after="0" w:afterAutospacing="0"/>
              <w:jc w:val="center"/>
              <w:rPr>
                <w:b/>
                <w:bCs/>
                <w:sz w:val="15"/>
                <w:szCs w:val="15"/>
              </w:rPr>
            </w:pPr>
            <w:r>
              <w:rPr>
                <w:b/>
                <w:bCs/>
                <w:sz w:val="15"/>
                <w:szCs w:val="15"/>
              </w:rPr>
              <w:t>(I.R.S. Employer</w:t>
            </w:r>
          </w:p>
        </w:tc>
      </w:tr>
      <w:tr w:rsidR="00000000">
        <w:trPr>
          <w:divId w:val="1779373829"/>
          <w:trHeight w:val="20"/>
        </w:trPr>
        <w:tc>
          <w:tcPr>
            <w:tcW w:w="2450" w:type="pct"/>
            <w:hideMark/>
          </w:tcPr>
          <w:p w:rsidR="00000000" w:rsidRDefault="00827839">
            <w:pPr>
              <w:pStyle w:val="a3"/>
              <w:spacing w:before="0" w:beforeAutospacing="0" w:after="0" w:afterAutospacing="0"/>
              <w:jc w:val="center"/>
              <w:rPr>
                <w:b/>
                <w:bCs/>
                <w:sz w:val="15"/>
                <w:szCs w:val="15"/>
              </w:rPr>
            </w:pPr>
            <w:r>
              <w:rPr>
                <w:b/>
                <w:bCs/>
                <w:sz w:val="15"/>
                <w:szCs w:val="15"/>
              </w:rPr>
              <w:t>incorporation or organization)</w:t>
            </w:r>
          </w:p>
        </w:tc>
        <w:tc>
          <w:tcPr>
            <w:tcW w:w="101" w:type="pct"/>
            <w:hideMark/>
          </w:tcPr>
          <w:p w:rsidR="00000000" w:rsidRDefault="00827839">
            <w:pPr>
              <w:pStyle w:val="a3"/>
              <w:spacing w:before="0" w:beforeAutospacing="0" w:after="0" w:afterAutospacing="0"/>
              <w:jc w:val="center"/>
              <w:rPr>
                <w:b/>
                <w:bCs/>
                <w:sz w:val="15"/>
                <w:szCs w:val="15"/>
              </w:rPr>
            </w:pPr>
            <w:r>
              <w:rPr>
                <w:b/>
                <w:bCs/>
                <w:sz w:val="15"/>
                <w:szCs w:val="15"/>
              </w:rPr>
              <w:t> </w:t>
            </w:r>
          </w:p>
        </w:tc>
        <w:tc>
          <w:tcPr>
            <w:tcW w:w="2450" w:type="pct"/>
            <w:hideMark/>
          </w:tcPr>
          <w:p w:rsidR="00000000" w:rsidRDefault="00827839">
            <w:pPr>
              <w:pStyle w:val="a3"/>
              <w:spacing w:before="0" w:beforeAutospacing="0" w:after="0" w:afterAutospacing="0"/>
              <w:jc w:val="center"/>
              <w:rPr>
                <w:b/>
                <w:bCs/>
                <w:sz w:val="15"/>
                <w:szCs w:val="15"/>
              </w:rPr>
            </w:pPr>
            <w:r>
              <w:rPr>
                <w:b/>
                <w:bCs/>
                <w:sz w:val="15"/>
                <w:szCs w:val="15"/>
              </w:rPr>
              <w:t>Identification No.)</w:t>
            </w:r>
          </w:p>
        </w:tc>
      </w:tr>
    </w:tbl>
    <w:p w:rsidR="00000000" w:rsidRDefault="00827839">
      <w:pPr>
        <w:pStyle w:val="a3"/>
        <w:spacing w:before="80" w:beforeAutospacing="0" w:after="0" w:afterAutospacing="0"/>
        <w:jc w:val="center"/>
        <w:rPr>
          <w:b/>
          <w:bCs/>
          <w:sz w:val="19"/>
          <w:szCs w:val="19"/>
        </w:rPr>
      </w:pPr>
      <w:r>
        <w:rPr>
          <w:b/>
          <w:bCs/>
          <w:sz w:val="19"/>
          <w:szCs w:val="19"/>
        </w:rPr>
        <w:t>240 Route 10 West</w:t>
      </w:r>
    </w:p>
    <w:p w:rsidR="00000000" w:rsidRDefault="00827839">
      <w:pPr>
        <w:pStyle w:val="a3"/>
        <w:spacing w:before="0" w:beforeAutospacing="0" w:after="0" w:afterAutospacing="0"/>
        <w:jc w:val="center"/>
        <w:rPr>
          <w:b/>
          <w:bCs/>
          <w:sz w:val="19"/>
          <w:szCs w:val="19"/>
        </w:rPr>
      </w:pPr>
      <w:r>
        <w:rPr>
          <w:b/>
          <w:bCs/>
          <w:sz w:val="19"/>
          <w:szCs w:val="19"/>
        </w:rPr>
        <w:t>Whippany, NJ 07981</w:t>
      </w:r>
    </w:p>
    <w:p w:rsidR="00000000" w:rsidRDefault="00827839">
      <w:pPr>
        <w:pStyle w:val="a3"/>
        <w:spacing w:before="0" w:beforeAutospacing="0" w:after="0" w:afterAutospacing="0"/>
        <w:jc w:val="center"/>
        <w:rPr>
          <w:b/>
          <w:bCs/>
          <w:sz w:val="19"/>
          <w:szCs w:val="19"/>
        </w:rPr>
      </w:pPr>
      <w:r>
        <w:rPr>
          <w:b/>
          <w:bCs/>
          <w:sz w:val="19"/>
          <w:szCs w:val="19"/>
        </w:rPr>
        <w:t>(973) 887-5300</w:t>
      </w:r>
    </w:p>
    <w:p w:rsidR="00000000" w:rsidRDefault="00827839">
      <w:pPr>
        <w:pStyle w:val="a3"/>
        <w:spacing w:before="0" w:beforeAutospacing="0" w:after="0" w:afterAutospacing="0"/>
        <w:jc w:val="center"/>
        <w:rPr>
          <w:b/>
          <w:bCs/>
          <w:sz w:val="15"/>
          <w:szCs w:val="15"/>
        </w:rPr>
      </w:pPr>
      <w:r>
        <w:rPr>
          <w:b/>
          <w:bCs/>
          <w:sz w:val="15"/>
          <w:szCs w:val="15"/>
        </w:rPr>
        <w:t>(Address, including zip code, and telephone number,</w:t>
      </w:r>
    </w:p>
    <w:p w:rsidR="00000000" w:rsidRDefault="00827839">
      <w:pPr>
        <w:pStyle w:val="a3"/>
        <w:spacing w:before="0" w:beforeAutospacing="0" w:after="0" w:afterAutospacing="0"/>
        <w:jc w:val="center"/>
        <w:rPr>
          <w:b/>
          <w:bCs/>
          <w:sz w:val="15"/>
          <w:szCs w:val="15"/>
        </w:rPr>
      </w:pPr>
      <w:r>
        <w:rPr>
          <w:b/>
          <w:bCs/>
          <w:sz w:val="15"/>
          <w:szCs w:val="15"/>
        </w:rPr>
        <w:t>including area code, of registrant’s principal</w:t>
      </w:r>
      <w:r>
        <w:rPr>
          <w:b/>
          <w:bCs/>
          <w:sz w:val="15"/>
          <w:szCs w:val="15"/>
        </w:rPr>
        <w:t xml:space="preserve"> executive offices)</w:t>
      </w:r>
    </w:p>
    <w:p w:rsidR="00000000" w:rsidRDefault="00827839">
      <w:pPr>
        <w:pStyle w:val="a3"/>
        <w:spacing w:before="80" w:beforeAutospacing="0" w:after="0" w:afterAutospacing="0"/>
        <w:jc w:val="center"/>
        <w:rPr>
          <w:b/>
          <w:bCs/>
          <w:sz w:val="19"/>
          <w:szCs w:val="19"/>
        </w:rPr>
      </w:pPr>
      <w:r>
        <w:rPr>
          <w:b/>
          <w:bCs/>
          <w:sz w:val="19"/>
          <w:szCs w:val="19"/>
        </w:rPr>
        <w:t>Securities registered pursuant to Section 12(b) of the Act:</w:t>
      </w:r>
    </w:p>
    <w:p w:rsidR="00000000" w:rsidRDefault="00827839">
      <w:pPr>
        <w:pStyle w:val="a3"/>
        <w:spacing w:before="0" w:beforeAutospacing="0" w:after="0" w:afterAutospacing="0"/>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2907"/>
        <w:gridCol w:w="2409"/>
        <w:gridCol w:w="113"/>
        <w:gridCol w:w="2877"/>
      </w:tblGrid>
      <w:tr w:rsidR="00000000">
        <w:trPr>
          <w:divId w:val="1099182843"/>
        </w:trPr>
        <w:tc>
          <w:tcPr>
            <w:tcW w:w="1750" w:type="pct"/>
            <w:vAlign w:val="bottom"/>
            <w:hideMark/>
          </w:tcPr>
          <w:p w:rsidR="00000000" w:rsidRDefault="00827839">
            <w:pPr>
              <w:pStyle w:val="a3"/>
              <w:spacing w:before="0" w:beforeAutospacing="0" w:after="0" w:afterAutospacing="0"/>
              <w:jc w:val="center"/>
              <w:rPr>
                <w:sz w:val="19"/>
                <w:szCs w:val="19"/>
              </w:rPr>
            </w:pPr>
            <w:r>
              <w:rPr>
                <w:sz w:val="19"/>
                <w:szCs w:val="19"/>
                <w:u w:val="single"/>
              </w:rPr>
              <w:t>Title of each class</w:t>
            </w:r>
          </w:p>
        </w:tc>
        <w:tc>
          <w:tcPr>
            <w:tcW w:w="1450" w:type="pct"/>
            <w:hideMark/>
          </w:tcPr>
          <w:p w:rsidR="00000000" w:rsidRDefault="00827839">
            <w:pPr>
              <w:pStyle w:val="a3"/>
              <w:spacing w:before="0" w:beforeAutospacing="0" w:after="0" w:afterAutospacing="0"/>
              <w:jc w:val="center"/>
              <w:rPr>
                <w:sz w:val="19"/>
                <w:szCs w:val="19"/>
              </w:rPr>
            </w:pPr>
            <w:r>
              <w:rPr>
                <w:sz w:val="19"/>
                <w:szCs w:val="19"/>
                <w:u w:val="single"/>
              </w:rPr>
              <w:t>Trading Symbol</w:t>
            </w:r>
          </w:p>
        </w:tc>
        <w:tc>
          <w:tcPr>
            <w:tcW w:w="68" w:type="pct"/>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1750" w:type="pct"/>
            <w:vAlign w:val="bottom"/>
            <w:hideMark/>
          </w:tcPr>
          <w:p w:rsidR="00000000" w:rsidRDefault="00827839">
            <w:pPr>
              <w:pStyle w:val="a3"/>
              <w:spacing w:before="0" w:beforeAutospacing="0" w:after="0" w:afterAutospacing="0"/>
              <w:jc w:val="center"/>
              <w:rPr>
                <w:sz w:val="19"/>
                <w:szCs w:val="19"/>
              </w:rPr>
            </w:pPr>
            <w:r>
              <w:rPr>
                <w:sz w:val="19"/>
                <w:szCs w:val="19"/>
                <w:u w:val="single"/>
              </w:rPr>
              <w:t>Name of exchange on which registered</w:t>
            </w:r>
          </w:p>
        </w:tc>
      </w:tr>
      <w:tr w:rsidR="00000000">
        <w:trPr>
          <w:divId w:val="1099182843"/>
        </w:trPr>
        <w:tc>
          <w:tcPr>
            <w:tcW w:w="1750" w:type="pct"/>
            <w:vAlign w:val="bottom"/>
            <w:hideMark/>
          </w:tcPr>
          <w:p w:rsidR="00000000" w:rsidRDefault="00827839">
            <w:pPr>
              <w:pStyle w:val="a3"/>
              <w:spacing w:before="0" w:beforeAutospacing="0" w:after="0" w:afterAutospacing="0"/>
              <w:jc w:val="center"/>
              <w:rPr>
                <w:sz w:val="19"/>
                <w:szCs w:val="19"/>
              </w:rPr>
            </w:pPr>
            <w:r>
              <w:rPr>
                <w:sz w:val="19"/>
                <w:szCs w:val="19"/>
              </w:rPr>
              <w:t>Common Units</w:t>
            </w:r>
          </w:p>
        </w:tc>
        <w:tc>
          <w:tcPr>
            <w:tcW w:w="1450" w:type="pct"/>
            <w:hideMark/>
          </w:tcPr>
          <w:p w:rsidR="00000000" w:rsidRDefault="00827839">
            <w:pPr>
              <w:pStyle w:val="a3"/>
              <w:spacing w:before="0" w:beforeAutospacing="0" w:after="0" w:afterAutospacing="0"/>
              <w:jc w:val="center"/>
              <w:rPr>
                <w:sz w:val="19"/>
                <w:szCs w:val="19"/>
              </w:rPr>
            </w:pPr>
            <w:r>
              <w:rPr>
                <w:sz w:val="19"/>
                <w:szCs w:val="19"/>
              </w:rPr>
              <w:t>SPH</w:t>
            </w:r>
          </w:p>
        </w:tc>
        <w:tc>
          <w:tcPr>
            <w:tcW w:w="68" w:type="pct"/>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1750" w:type="pct"/>
            <w:vAlign w:val="bottom"/>
            <w:hideMark/>
          </w:tcPr>
          <w:p w:rsidR="00000000" w:rsidRDefault="00827839">
            <w:pPr>
              <w:pStyle w:val="a3"/>
              <w:spacing w:before="0" w:beforeAutospacing="0" w:after="0" w:afterAutospacing="0"/>
              <w:jc w:val="center"/>
              <w:rPr>
                <w:sz w:val="19"/>
                <w:szCs w:val="19"/>
              </w:rPr>
            </w:pPr>
            <w:r>
              <w:rPr>
                <w:sz w:val="19"/>
                <w:szCs w:val="19"/>
              </w:rPr>
              <w:t>New York Stock Exchange</w:t>
            </w:r>
          </w:p>
        </w:tc>
      </w:tr>
    </w:tbl>
    <w:p w:rsidR="00000000" w:rsidRDefault="00827839">
      <w:pPr>
        <w:pStyle w:val="a3"/>
        <w:pBdr>
          <w:bottom w:val="single" w:sz="8" w:space="1" w:color="auto"/>
        </w:pBdr>
        <w:spacing w:before="0" w:beforeAutospacing="0" w:after="0" w:afterAutospacing="0" w:line="40" w:lineRule="atLeast"/>
        <w:ind w:left="4762" w:right="4762"/>
        <w:jc w:val="center"/>
        <w:rPr>
          <w:sz w:val="9"/>
          <w:szCs w:val="9"/>
        </w:rPr>
      </w:pPr>
      <w:r>
        <w:rPr>
          <w:sz w:val="9"/>
          <w:szCs w:val="9"/>
        </w:rPr>
        <w:t> </w:t>
      </w:r>
    </w:p>
    <w:p w:rsidR="00000000" w:rsidRDefault="00827839">
      <w:pPr>
        <w:pStyle w:val="a3"/>
        <w:spacing w:before="80" w:beforeAutospacing="0" w:after="0" w:afterAutospacing="0"/>
        <w:jc w:val="both"/>
        <w:rPr>
          <w:sz w:val="19"/>
          <w:szCs w:val="19"/>
        </w:rPr>
      </w:pPr>
      <w:r>
        <w:rPr>
          <w:sz w:val="19"/>
          <w:szCs w:val="19"/>
        </w:rPr>
        <w:t>Securities registered pursuant to Section 12(g) of the Act: None</w:t>
      </w:r>
    </w:p>
    <w:p w:rsidR="00000000" w:rsidRDefault="00827839">
      <w:pPr>
        <w:pStyle w:val="a3"/>
        <w:spacing w:before="80" w:beforeAutospacing="0" w:after="0" w:afterAutospacing="0"/>
        <w:jc w:val="both"/>
        <w:rPr>
          <w:sz w:val="19"/>
          <w:szCs w:val="19"/>
        </w:rPr>
      </w:pPr>
      <w:r>
        <w:rPr>
          <w:sz w:val="19"/>
          <w:szCs w:val="19"/>
        </w:rPr>
        <w:t>Indicate by check mark if the registrant is a well-known seasoned issuer, as defined in Rule 405 of the Securities Act.    Yes  </w:t>
      </w:r>
      <w:r>
        <w:rPr>
          <w:rFonts w:ascii="Segoe UI Symbol" w:hAnsi="Segoe UI Symbol"/>
          <w:sz w:val="19"/>
          <w:szCs w:val="19"/>
        </w:rPr>
        <w:t>☒</w:t>
      </w:r>
      <w:r>
        <w:rPr>
          <w:sz w:val="19"/>
          <w:szCs w:val="19"/>
        </w:rPr>
        <w:t>    No  </w:t>
      </w:r>
      <w:r>
        <w:rPr>
          <w:rFonts w:ascii="Segoe UI Symbol" w:hAnsi="Segoe UI Symbol"/>
          <w:sz w:val="19"/>
          <w:szCs w:val="19"/>
        </w:rPr>
        <w:t>☐</w:t>
      </w:r>
    </w:p>
    <w:p w:rsidR="00000000" w:rsidRDefault="00827839">
      <w:pPr>
        <w:pStyle w:val="a3"/>
        <w:spacing w:before="80" w:beforeAutospacing="0" w:after="0" w:afterAutospacing="0"/>
        <w:jc w:val="both"/>
        <w:rPr>
          <w:sz w:val="19"/>
          <w:szCs w:val="19"/>
        </w:rPr>
      </w:pPr>
      <w:r>
        <w:rPr>
          <w:sz w:val="19"/>
          <w:szCs w:val="19"/>
        </w:rPr>
        <w:t>Indicate by check mark if the registrant is not required to file reports pursuant to Section 13 or Section 15(d) of the Act.    Yes  </w:t>
      </w:r>
      <w:r>
        <w:rPr>
          <w:rFonts w:ascii="Segoe UI Symbol" w:hAnsi="Segoe UI Symbol"/>
          <w:sz w:val="19"/>
          <w:szCs w:val="19"/>
        </w:rPr>
        <w:t>☐</w:t>
      </w:r>
      <w:r>
        <w:rPr>
          <w:sz w:val="19"/>
          <w:szCs w:val="19"/>
        </w:rPr>
        <w:t>    No  </w:t>
      </w:r>
      <w:r>
        <w:rPr>
          <w:rFonts w:ascii="Segoe UI Symbol" w:hAnsi="Segoe UI Symbol"/>
          <w:sz w:val="19"/>
          <w:szCs w:val="19"/>
        </w:rPr>
        <w:t>☒</w:t>
      </w:r>
    </w:p>
    <w:p w:rsidR="00000000" w:rsidRDefault="00827839">
      <w:pPr>
        <w:pStyle w:val="a3"/>
        <w:spacing w:before="80" w:beforeAutospacing="0" w:after="0" w:afterAutospacing="0"/>
        <w:jc w:val="both"/>
        <w:rPr>
          <w:sz w:val="19"/>
          <w:szCs w:val="19"/>
        </w:rPr>
      </w:pPr>
      <w:r>
        <w:rPr>
          <w:sz w:val="19"/>
          <w:szCs w:val="19"/>
        </w:rPr>
        <w:t>Indicate by check mark whether the registrant (1) has filed all reports required to be filed by Section 13 or 15</w:t>
      </w:r>
      <w:r>
        <w:rPr>
          <w:sz w:val="19"/>
          <w:szCs w:val="19"/>
        </w:rPr>
        <w:t>(d) 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9"/>
          <w:szCs w:val="19"/>
        </w:rPr>
        <w:t>☒</w:t>
      </w:r>
      <w:r>
        <w:rPr>
          <w:sz w:val="19"/>
          <w:szCs w:val="19"/>
        </w:rPr>
        <w:t>    No  </w:t>
      </w:r>
      <w:r>
        <w:rPr>
          <w:rFonts w:ascii="Segoe UI Symbol" w:hAnsi="Segoe UI Symbol"/>
          <w:sz w:val="19"/>
          <w:szCs w:val="19"/>
        </w:rPr>
        <w:t>☐</w:t>
      </w:r>
    </w:p>
    <w:p w:rsidR="00000000" w:rsidRDefault="00827839">
      <w:pPr>
        <w:pStyle w:val="a3"/>
        <w:spacing w:before="80" w:beforeAutospacing="0" w:after="0" w:afterAutospacing="0"/>
        <w:jc w:val="both"/>
        <w:rPr>
          <w:sz w:val="19"/>
          <w:szCs w:val="19"/>
        </w:rPr>
      </w:pPr>
      <w:r>
        <w:rPr>
          <w:sz w:val="19"/>
          <w:szCs w:val="19"/>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9"/>
          <w:szCs w:val="19"/>
        </w:rPr>
        <w:t>t the registrant was required to submit such files).    Yes  </w:t>
      </w:r>
      <w:r>
        <w:rPr>
          <w:rFonts w:ascii="Segoe UI Symbol" w:hAnsi="Segoe UI Symbol"/>
          <w:sz w:val="19"/>
          <w:szCs w:val="19"/>
        </w:rPr>
        <w:t>☒</w:t>
      </w:r>
      <w:r>
        <w:rPr>
          <w:sz w:val="19"/>
          <w:szCs w:val="19"/>
        </w:rPr>
        <w:t>    No  </w:t>
      </w:r>
      <w:r>
        <w:rPr>
          <w:rFonts w:ascii="Segoe UI Symbol" w:hAnsi="Segoe UI Symbol"/>
          <w:sz w:val="19"/>
          <w:szCs w:val="19"/>
        </w:rPr>
        <w:t>☐</w:t>
      </w:r>
    </w:p>
    <w:p w:rsidR="00000000" w:rsidRDefault="00827839">
      <w:pPr>
        <w:pStyle w:val="a3"/>
        <w:spacing w:before="80" w:beforeAutospacing="0" w:after="0" w:afterAutospacing="0"/>
        <w:jc w:val="both"/>
        <w:rPr>
          <w:sz w:val="19"/>
          <w:szCs w:val="19"/>
        </w:rPr>
      </w:pPr>
      <w:r>
        <w:rPr>
          <w:sz w:val="19"/>
          <w:szCs w:val="19"/>
        </w:rPr>
        <w:t>Indicate by check mark whether the registrant is a large accelerated filer, an accelerated filer, a non-accelerated filer, a smaller reporting company, or an emerging growth company.  </w:t>
      </w:r>
      <w:r>
        <w:rPr>
          <w:sz w:val="19"/>
          <w:szCs w:val="19"/>
        </w:rPr>
        <w:t xml:space="preserve">See the definitions of “large accelerated filer,” “accelerated filer,” “smaller reporting company,” and “emerging growth company” in Rule 12b-2 of the Exchange Act. </w:t>
      </w:r>
    </w:p>
    <w:p w:rsidR="00000000" w:rsidRDefault="00827839">
      <w:pPr>
        <w:pStyle w:val="a3"/>
        <w:spacing w:before="0" w:beforeAutospacing="0" w:after="0" w:afterAutospacing="0"/>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2079"/>
        <w:gridCol w:w="164"/>
        <w:gridCol w:w="3814"/>
        <w:gridCol w:w="2079"/>
        <w:gridCol w:w="164"/>
        <w:gridCol w:w="6"/>
      </w:tblGrid>
      <w:tr w:rsidR="00000000">
        <w:trPr>
          <w:gridAfter w:val="1"/>
          <w:divId w:val="596793942"/>
        </w:trPr>
        <w:tc>
          <w:tcPr>
            <w:tcW w:w="1042" w:type="pct"/>
            <w:vAlign w:val="bottom"/>
            <w:hideMark/>
          </w:tcPr>
          <w:p w:rsidR="00000000" w:rsidRDefault="00827839">
            <w:pPr>
              <w:pStyle w:val="a3"/>
              <w:spacing w:before="0" w:beforeAutospacing="0" w:after="0" w:afterAutospacing="0"/>
              <w:rPr>
                <w:sz w:val="19"/>
                <w:szCs w:val="19"/>
              </w:rPr>
            </w:pPr>
            <w:r>
              <w:rPr>
                <w:sz w:val="19"/>
                <w:szCs w:val="19"/>
              </w:rPr>
              <w:t>Large accelerated filer</w:t>
            </w:r>
          </w:p>
        </w:tc>
        <w:tc>
          <w:tcPr>
            <w:tcW w:w="152" w:type="pct"/>
            <w:vAlign w:val="bottom"/>
            <w:hideMark/>
          </w:tcPr>
          <w:p w:rsidR="00000000" w:rsidRDefault="00827839">
            <w:pPr>
              <w:pStyle w:val="a3"/>
              <w:spacing w:before="0" w:beforeAutospacing="0" w:after="0" w:afterAutospacing="0"/>
              <w:rPr>
                <w:rFonts w:ascii="Segoe UI Symbol" w:hAnsi="Segoe UI Symbol"/>
                <w:sz w:val="19"/>
                <w:szCs w:val="19"/>
              </w:rPr>
            </w:pPr>
            <w:r>
              <w:rPr>
                <w:rFonts w:ascii="Segoe UI Symbol" w:hAnsi="Segoe UI Symbol"/>
                <w:sz w:val="19"/>
                <w:szCs w:val="19"/>
              </w:rPr>
              <w:t>☒</w:t>
            </w:r>
          </w:p>
        </w:tc>
        <w:tc>
          <w:tcPr>
            <w:tcW w:w="2648" w:type="pct"/>
            <w:vAlign w:val="bottom"/>
            <w:hideMark/>
          </w:tcPr>
          <w:p w:rsidR="00000000" w:rsidRDefault="00827839">
            <w:pPr>
              <w:pStyle w:val="a3"/>
              <w:spacing w:before="0" w:beforeAutospacing="0" w:after="0" w:afterAutospacing="0"/>
              <w:rPr>
                <w:sz w:val="19"/>
                <w:szCs w:val="19"/>
              </w:rPr>
            </w:pPr>
            <w:r>
              <w:rPr>
                <w:sz w:val="19"/>
                <w:szCs w:val="19"/>
              </w:rPr>
              <w:t> </w:t>
            </w:r>
          </w:p>
        </w:tc>
        <w:tc>
          <w:tcPr>
            <w:tcW w:w="1013" w:type="pct"/>
            <w:vAlign w:val="bottom"/>
            <w:hideMark/>
          </w:tcPr>
          <w:p w:rsidR="00000000" w:rsidRDefault="00827839">
            <w:pPr>
              <w:pStyle w:val="a3"/>
              <w:spacing w:before="0" w:beforeAutospacing="0" w:after="0" w:afterAutospacing="0"/>
              <w:rPr>
                <w:sz w:val="19"/>
                <w:szCs w:val="19"/>
              </w:rPr>
            </w:pPr>
            <w:r>
              <w:rPr>
                <w:sz w:val="19"/>
                <w:szCs w:val="19"/>
              </w:rPr>
              <w:t>Accelerated filer</w:t>
            </w:r>
          </w:p>
        </w:tc>
        <w:tc>
          <w:tcPr>
            <w:tcW w:w="145" w:type="pct"/>
            <w:vAlign w:val="bottom"/>
            <w:hideMark/>
          </w:tcPr>
          <w:p w:rsidR="00000000" w:rsidRDefault="00827839">
            <w:pPr>
              <w:pStyle w:val="a3"/>
              <w:spacing w:before="0" w:beforeAutospacing="0" w:after="0" w:afterAutospacing="0"/>
              <w:jc w:val="right"/>
              <w:rPr>
                <w:rFonts w:ascii="Segoe UI Symbol" w:hAnsi="Segoe UI Symbol"/>
                <w:sz w:val="19"/>
                <w:szCs w:val="19"/>
              </w:rPr>
            </w:pPr>
            <w:r>
              <w:rPr>
                <w:rFonts w:ascii="Segoe UI Symbol" w:hAnsi="Segoe UI Symbol"/>
                <w:sz w:val="19"/>
                <w:szCs w:val="19"/>
              </w:rPr>
              <w:t>☐</w:t>
            </w:r>
          </w:p>
        </w:tc>
      </w:tr>
      <w:tr w:rsidR="00000000">
        <w:trPr>
          <w:divId w:val="596793942"/>
          <w:trHeight w:val="29"/>
        </w:trPr>
        <w:tc>
          <w:tcPr>
            <w:tcW w:w="1042" w:type="pct"/>
            <w:vAlign w:val="bottom"/>
            <w:hideMark/>
          </w:tcPr>
          <w:p w:rsidR="00000000" w:rsidRDefault="00827839">
            <w:pPr>
              <w:pStyle w:val="a3"/>
              <w:spacing w:before="0" w:beforeAutospacing="0" w:after="0" w:afterAutospacing="0"/>
              <w:rPr>
                <w:sz w:val="19"/>
                <w:szCs w:val="19"/>
              </w:rPr>
            </w:pPr>
            <w:r>
              <w:rPr>
                <w:sz w:val="19"/>
                <w:szCs w:val="19"/>
              </w:rPr>
              <w:t>Non-accelerated filer</w:t>
            </w:r>
          </w:p>
        </w:tc>
        <w:tc>
          <w:tcPr>
            <w:tcW w:w="152" w:type="pct"/>
            <w:vAlign w:val="bottom"/>
            <w:hideMark/>
          </w:tcPr>
          <w:p w:rsidR="00000000" w:rsidRDefault="00827839">
            <w:pPr>
              <w:pStyle w:val="a3"/>
              <w:spacing w:before="0" w:beforeAutospacing="0" w:after="0" w:afterAutospacing="0"/>
              <w:rPr>
                <w:rFonts w:ascii="Segoe UI Symbol" w:hAnsi="Segoe UI Symbol"/>
                <w:sz w:val="19"/>
                <w:szCs w:val="19"/>
              </w:rPr>
            </w:pPr>
            <w:r>
              <w:rPr>
                <w:rFonts w:ascii="Segoe UI Symbol" w:hAnsi="Segoe UI Symbol"/>
                <w:sz w:val="19"/>
                <w:szCs w:val="19"/>
              </w:rPr>
              <w:t>☐</w:t>
            </w:r>
          </w:p>
        </w:tc>
        <w:tc>
          <w:tcPr>
            <w:tcW w:w="2648" w:type="pct"/>
            <w:vAlign w:val="bottom"/>
            <w:hideMark/>
          </w:tcPr>
          <w:p w:rsidR="00000000" w:rsidRDefault="00827839">
            <w:pPr>
              <w:pStyle w:val="a3"/>
              <w:spacing w:before="0" w:beforeAutospacing="0" w:after="0" w:afterAutospacing="0"/>
              <w:rPr>
                <w:sz w:val="19"/>
                <w:szCs w:val="19"/>
              </w:rPr>
            </w:pPr>
            <w:r>
              <w:rPr>
                <w:sz w:val="19"/>
                <w:szCs w:val="19"/>
              </w:rPr>
              <w:t> </w:t>
            </w:r>
          </w:p>
        </w:tc>
        <w:tc>
          <w:tcPr>
            <w:tcW w:w="1013" w:type="pct"/>
            <w:vAlign w:val="bottom"/>
            <w:hideMark/>
          </w:tcPr>
          <w:p w:rsidR="00000000" w:rsidRDefault="00827839">
            <w:pPr>
              <w:pStyle w:val="a3"/>
              <w:spacing w:before="0" w:beforeAutospacing="0" w:after="0" w:afterAutospacing="0"/>
              <w:rPr>
                <w:sz w:val="19"/>
                <w:szCs w:val="19"/>
              </w:rPr>
            </w:pPr>
            <w:r>
              <w:rPr>
                <w:sz w:val="19"/>
                <w:szCs w:val="19"/>
              </w:rPr>
              <w:t>Smaller repor</w:t>
            </w:r>
            <w:r>
              <w:rPr>
                <w:sz w:val="19"/>
                <w:szCs w:val="19"/>
              </w:rPr>
              <w:t>ting company</w:t>
            </w:r>
          </w:p>
        </w:tc>
        <w:tc>
          <w:tcPr>
            <w:tcW w:w="145" w:type="pct"/>
            <w:vAlign w:val="bottom"/>
            <w:hideMark/>
          </w:tcPr>
          <w:p w:rsidR="00000000" w:rsidRDefault="00827839">
            <w:pPr>
              <w:pStyle w:val="a3"/>
              <w:spacing w:before="0" w:beforeAutospacing="0" w:after="0" w:afterAutospacing="0"/>
              <w:jc w:val="right"/>
              <w:rPr>
                <w:rFonts w:ascii="Segoe UI Symbol" w:hAnsi="Segoe UI Symbol"/>
                <w:sz w:val="19"/>
                <w:szCs w:val="19"/>
              </w:rPr>
            </w:pPr>
            <w:r>
              <w:rPr>
                <w:rFonts w:ascii="Segoe UI Symbol" w:hAnsi="Segoe UI Symbol"/>
                <w:sz w:val="19"/>
                <w:szCs w:val="19"/>
              </w:rPr>
              <w:t>☐</w:t>
            </w:r>
          </w:p>
        </w:tc>
        <w:tc>
          <w:tcPr>
            <w:tcW w:w="0" w:type="auto"/>
            <w:tcBorders>
              <w:top w:val="nil"/>
              <w:left w:val="nil"/>
              <w:bottom w:val="nil"/>
              <w:right w:val="nil"/>
            </w:tcBorders>
            <w:vAlign w:val="center"/>
            <w:hideMark/>
          </w:tcPr>
          <w:p w:rsidR="00000000" w:rsidRDefault="00827839">
            <w:pPr>
              <w:rPr>
                <w:rFonts w:ascii="Segoe UI Symbol" w:hAnsi="Segoe UI Symbol"/>
                <w:sz w:val="19"/>
                <w:szCs w:val="19"/>
              </w:rPr>
            </w:pPr>
          </w:p>
        </w:tc>
      </w:tr>
      <w:tr w:rsidR="00000000">
        <w:trPr>
          <w:divId w:val="596793942"/>
          <w:trHeight w:val="29"/>
        </w:trPr>
        <w:tc>
          <w:tcPr>
            <w:tcW w:w="1042" w:type="pct"/>
            <w:vAlign w:val="bottom"/>
            <w:hideMark/>
          </w:tcPr>
          <w:p w:rsidR="00000000" w:rsidRDefault="00827839">
            <w:pPr>
              <w:pStyle w:val="a3"/>
              <w:spacing w:before="0" w:beforeAutospacing="0" w:after="0" w:afterAutospacing="0"/>
              <w:rPr>
                <w:sz w:val="19"/>
                <w:szCs w:val="19"/>
              </w:rPr>
            </w:pPr>
            <w:r>
              <w:rPr>
                <w:sz w:val="19"/>
                <w:szCs w:val="19"/>
              </w:rPr>
              <w:t>Emerging growth company</w:t>
            </w:r>
          </w:p>
        </w:tc>
        <w:tc>
          <w:tcPr>
            <w:tcW w:w="152" w:type="pct"/>
            <w:vAlign w:val="bottom"/>
            <w:hideMark/>
          </w:tcPr>
          <w:p w:rsidR="00000000" w:rsidRDefault="00827839">
            <w:pPr>
              <w:pStyle w:val="a3"/>
              <w:spacing w:before="0" w:beforeAutospacing="0" w:after="0" w:afterAutospacing="0"/>
              <w:rPr>
                <w:rFonts w:ascii="Segoe UI Symbol" w:hAnsi="Segoe UI Symbol"/>
                <w:sz w:val="19"/>
                <w:szCs w:val="19"/>
              </w:rPr>
            </w:pPr>
            <w:r>
              <w:rPr>
                <w:rFonts w:ascii="Segoe UI Symbol" w:hAnsi="Segoe UI Symbol"/>
                <w:sz w:val="19"/>
                <w:szCs w:val="19"/>
              </w:rPr>
              <w:t>☐</w:t>
            </w:r>
          </w:p>
        </w:tc>
        <w:tc>
          <w:tcPr>
            <w:tcW w:w="2648" w:type="pct"/>
            <w:vAlign w:val="bottom"/>
            <w:hideMark/>
          </w:tcPr>
          <w:p w:rsidR="00000000" w:rsidRDefault="00827839">
            <w:pPr>
              <w:pStyle w:val="a3"/>
              <w:spacing w:before="0" w:beforeAutospacing="0" w:after="0" w:afterAutospacing="0"/>
              <w:rPr>
                <w:sz w:val="19"/>
                <w:szCs w:val="19"/>
              </w:rPr>
            </w:pPr>
            <w:r>
              <w:rPr>
                <w:sz w:val="19"/>
                <w:szCs w:val="19"/>
              </w:rPr>
              <w:t> </w:t>
            </w:r>
          </w:p>
        </w:tc>
        <w:tc>
          <w:tcPr>
            <w:tcW w:w="1013" w:type="pct"/>
            <w:vAlign w:val="bottom"/>
            <w:hideMark/>
          </w:tcPr>
          <w:p w:rsidR="00000000" w:rsidRDefault="00827839">
            <w:pPr>
              <w:pStyle w:val="a3"/>
              <w:spacing w:before="0" w:beforeAutospacing="0" w:after="0" w:afterAutospacing="0"/>
              <w:rPr>
                <w:sz w:val="19"/>
                <w:szCs w:val="19"/>
              </w:rPr>
            </w:pPr>
            <w:r>
              <w:rPr>
                <w:sz w:val="19"/>
                <w:szCs w:val="19"/>
              </w:rPr>
              <w:t> </w:t>
            </w:r>
          </w:p>
        </w:tc>
        <w:tc>
          <w:tcPr>
            <w:tcW w:w="145" w:type="pct"/>
            <w:vAlign w:val="bottom"/>
            <w:hideMark/>
          </w:tcPr>
          <w:p w:rsidR="00000000" w:rsidRDefault="00827839">
            <w:pPr>
              <w:pStyle w:val="a3"/>
              <w:spacing w:before="0" w:beforeAutospacing="0" w:after="0" w:afterAutospacing="0"/>
              <w:jc w:val="right"/>
              <w:rPr>
                <w:sz w:val="19"/>
                <w:szCs w:val="19"/>
              </w:rPr>
            </w:pPr>
            <w:r>
              <w:rPr>
                <w:sz w:val="19"/>
                <w:szCs w:val="19"/>
              </w:rPr>
              <w:t> </w:t>
            </w:r>
          </w:p>
        </w:tc>
        <w:tc>
          <w:tcPr>
            <w:tcW w:w="0" w:type="auto"/>
            <w:vAlign w:val="center"/>
            <w:hideMark/>
          </w:tcPr>
          <w:p w:rsidR="00000000" w:rsidRDefault="00827839">
            <w:pPr>
              <w:spacing w:beforeAutospacing="1" w:afterAutospacing="1"/>
              <w:rPr>
                <w:rFonts w:eastAsia="Times New Roman"/>
                <w:sz w:val="20"/>
                <w:szCs w:val="20"/>
              </w:rPr>
            </w:pPr>
          </w:p>
        </w:tc>
      </w:tr>
    </w:tbl>
    <w:p w:rsidR="00000000" w:rsidRDefault="00827839">
      <w:pPr>
        <w:pStyle w:val="a3"/>
        <w:spacing w:before="0" w:beforeAutospacing="0" w:after="0" w:afterAutospacing="0"/>
        <w:jc w:val="both"/>
        <w:rPr>
          <w:sz w:val="9"/>
          <w:szCs w:val="9"/>
        </w:rPr>
      </w:pPr>
      <w:r>
        <w:rPr>
          <w:sz w:val="9"/>
          <w:szCs w:val="9"/>
        </w:rPr>
        <w:lastRenderedPageBreak/>
        <w:t> </w:t>
      </w:r>
    </w:p>
    <w:p w:rsidR="00000000" w:rsidRDefault="00827839">
      <w:pPr>
        <w:pStyle w:val="a3"/>
        <w:spacing w:before="0" w:beforeAutospacing="0" w:after="0" w:afterAutospacing="0"/>
        <w:jc w:val="both"/>
        <w:rPr>
          <w:sz w:val="19"/>
          <w:szCs w:val="19"/>
        </w:rPr>
      </w:pPr>
      <w:r>
        <w:rPr>
          <w:sz w:val="19"/>
          <w:szCs w:val="19"/>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9"/>
          <w:szCs w:val="19"/>
        </w:rPr>
        <w:t>☐</w:t>
      </w:r>
    </w:p>
    <w:p w:rsidR="00000000" w:rsidRDefault="00827839">
      <w:pPr>
        <w:pStyle w:val="a3"/>
        <w:spacing w:before="80" w:beforeAutospacing="0" w:after="0" w:afterAutospacing="0"/>
        <w:jc w:val="both"/>
        <w:rPr>
          <w:sz w:val="19"/>
          <w:szCs w:val="19"/>
        </w:rPr>
      </w:pPr>
      <w:r>
        <w:rPr>
          <w:sz w:val="19"/>
          <w:szCs w:val="19"/>
        </w:rPr>
        <w:t>In</w:t>
      </w:r>
      <w:r>
        <w:rPr>
          <w:sz w:val="19"/>
          <w:szCs w:val="19"/>
        </w:rPr>
        <w:t>dicate by check mark whether the registrant is a shell company (as defined in Rule 12b-2 of the Act).    Yes  </w:t>
      </w:r>
      <w:r>
        <w:rPr>
          <w:rFonts w:ascii="Segoe UI Symbol" w:hAnsi="Segoe UI Symbol"/>
          <w:sz w:val="19"/>
          <w:szCs w:val="19"/>
        </w:rPr>
        <w:t>☐</w:t>
      </w:r>
      <w:r>
        <w:rPr>
          <w:sz w:val="19"/>
          <w:szCs w:val="19"/>
        </w:rPr>
        <w:t>    No  </w:t>
      </w:r>
      <w:r>
        <w:rPr>
          <w:rFonts w:ascii="Segoe UI Symbol" w:hAnsi="Segoe UI Symbol"/>
          <w:sz w:val="19"/>
          <w:szCs w:val="19"/>
        </w:rPr>
        <w:t>☒</w:t>
      </w:r>
    </w:p>
    <w:p w:rsidR="00000000" w:rsidRDefault="00827839">
      <w:pPr>
        <w:pStyle w:val="a3"/>
        <w:spacing w:before="80" w:beforeAutospacing="0" w:after="0" w:afterAutospacing="0"/>
        <w:jc w:val="both"/>
        <w:rPr>
          <w:sz w:val="19"/>
          <w:szCs w:val="19"/>
        </w:rPr>
      </w:pPr>
      <w:r>
        <w:rPr>
          <w:sz w:val="19"/>
          <w:szCs w:val="19"/>
        </w:rPr>
        <w:t>The aggregate market value as of March 29, 2019 of the registrant’s Common Units held by non-affiliates of the registrant, based on the</w:t>
      </w:r>
      <w:r>
        <w:rPr>
          <w:sz w:val="19"/>
          <w:szCs w:val="19"/>
        </w:rPr>
        <w:t xml:space="preserve"> reported closing price of such units on the New York Stock Exchange on such date ($22.41 per unit), was approximately $1,381,882,000.</w:t>
      </w:r>
    </w:p>
    <w:p w:rsidR="00000000" w:rsidRDefault="00827839">
      <w:pPr>
        <w:pStyle w:val="a3"/>
        <w:spacing w:before="0" w:beforeAutospacing="0" w:after="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323"/>
        <w:gridCol w:w="1661"/>
        <w:gridCol w:w="3322"/>
      </w:tblGrid>
      <w:tr w:rsidR="00000000">
        <w:trPr>
          <w:divId w:val="1629358145"/>
        </w:trPr>
        <w:tc>
          <w:tcPr>
            <w:tcW w:w="2000" w:type="pct"/>
            <w:hideMark/>
          </w:tcPr>
          <w:p w:rsidR="00000000" w:rsidRDefault="00827839">
            <w:pPr>
              <w:pStyle w:val="a3"/>
              <w:spacing w:before="0" w:beforeAutospacing="0" w:after="0" w:afterAutospacing="0"/>
              <w:jc w:val="both"/>
              <w:rPr>
                <w:sz w:val="19"/>
                <w:szCs w:val="19"/>
              </w:rPr>
            </w:pPr>
            <w:r>
              <w:rPr>
                <w:sz w:val="19"/>
                <w:szCs w:val="19"/>
              </w:rPr>
              <w:t>Documents Incorporated by Reference: None</w:t>
            </w:r>
          </w:p>
        </w:tc>
        <w:tc>
          <w:tcPr>
            <w:tcW w:w="1000" w:type="pct"/>
            <w:hideMark/>
          </w:tcPr>
          <w:p w:rsidR="00000000" w:rsidRDefault="00827839">
            <w:pPr>
              <w:pStyle w:val="a3"/>
              <w:spacing w:before="0" w:beforeAutospacing="0" w:after="0" w:afterAutospacing="0"/>
              <w:jc w:val="both"/>
              <w:rPr>
                <w:sz w:val="19"/>
                <w:szCs w:val="19"/>
              </w:rPr>
            </w:pPr>
            <w:r>
              <w:rPr>
                <w:sz w:val="19"/>
                <w:szCs w:val="19"/>
              </w:rPr>
              <w:t> </w:t>
            </w:r>
          </w:p>
        </w:tc>
        <w:tc>
          <w:tcPr>
            <w:tcW w:w="2000" w:type="pct"/>
            <w:vAlign w:val="bottom"/>
            <w:hideMark/>
          </w:tcPr>
          <w:p w:rsidR="00000000" w:rsidRDefault="00827839">
            <w:pPr>
              <w:pStyle w:val="a3"/>
              <w:spacing w:before="0" w:beforeAutospacing="0" w:after="0" w:afterAutospacing="0"/>
              <w:jc w:val="right"/>
              <w:rPr>
                <w:sz w:val="19"/>
                <w:szCs w:val="19"/>
              </w:rPr>
            </w:pPr>
            <w:r>
              <w:rPr>
                <w:sz w:val="19"/>
                <w:szCs w:val="19"/>
              </w:rPr>
              <w:t>Total number of pages (excluding Exhibits): 125</w:t>
            </w:r>
          </w:p>
        </w:tc>
      </w:tr>
    </w:tbl>
    <w:p w:rsidR="00000000" w:rsidRDefault="00827839">
      <w:pPr>
        <w:pStyle w:val="a3"/>
        <w:pBdr>
          <w:bottom w:val="double" w:sz="6" w:space="1" w:color="auto"/>
        </w:pBdr>
        <w:spacing w:before="0" w:beforeAutospacing="0" w:after="0" w:afterAutospacing="0"/>
        <w:rPr>
          <w:sz w:val="8"/>
          <w:szCs w:val="8"/>
        </w:rPr>
      </w:pPr>
      <w:r>
        <w:rPr>
          <w:sz w:val="8"/>
          <w:szCs w:val="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rPr>
          <w:rFonts w:eastAsia="Times New Roman"/>
        </w:rPr>
      </w:pPr>
      <w:r>
        <w:rPr>
          <w:rFonts w:eastAsia="Times New Roman"/>
        </w:rPr>
        <w:pict>
          <v:rect id="_x0000_i102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INDEX TO ANNUAL REPORT ON FORM 10-K</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27"/>
        <w:gridCol w:w="6890"/>
        <w:gridCol w:w="389"/>
      </w:tblGrid>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 </w:t>
            </w:r>
          </w:p>
        </w:tc>
        <w:tc>
          <w:tcPr>
            <w:tcW w:w="4154" w:type="pct"/>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221" w:type="pct"/>
            <w:tcBorders>
              <w:bottom w:val="single" w:sz="6" w:space="0" w:color="000000"/>
            </w:tcBorders>
            <w:vAlign w:val="bottom"/>
            <w:hideMark/>
          </w:tcPr>
          <w:p w:rsidR="00000000" w:rsidRDefault="00827839">
            <w:pPr>
              <w:pStyle w:val="a3"/>
              <w:spacing w:before="0" w:beforeAutospacing="0" w:after="0" w:afterAutospacing="0"/>
              <w:jc w:val="center"/>
              <w:rPr>
                <w:sz w:val="20"/>
                <w:szCs w:val="20"/>
              </w:rPr>
            </w:pPr>
            <w:r>
              <w:rPr>
                <w:sz w:val="20"/>
                <w:szCs w:val="20"/>
              </w:rPr>
              <w:t>Page</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 </w:t>
            </w:r>
          </w:p>
        </w:tc>
        <w:tc>
          <w:tcPr>
            <w:tcW w:w="4154" w:type="pct"/>
            <w:vAlign w:val="bottom"/>
            <w:hideMark/>
          </w:tcPr>
          <w:p w:rsidR="00000000" w:rsidRDefault="00827839">
            <w:pPr>
              <w:pStyle w:val="a3"/>
              <w:spacing w:before="0" w:beforeAutospacing="0" w:after="0" w:afterAutospacing="0"/>
              <w:jc w:val="center"/>
              <w:rPr>
                <w:sz w:val="20"/>
                <w:szCs w:val="20"/>
              </w:rPr>
            </w:pPr>
            <w:hyperlink w:anchor="PART_I" w:history="1">
              <w:r>
                <w:rPr>
                  <w:rStyle w:val="a4"/>
                  <w:sz w:val="20"/>
                  <w:szCs w:val="20"/>
                </w:rPr>
                <w:t>PART I</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 </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hideMark/>
          </w:tcPr>
          <w:p w:rsidR="00000000" w:rsidRDefault="00827839">
            <w:pPr>
              <w:pStyle w:val="a3"/>
              <w:spacing w:before="0" w:beforeAutospacing="0" w:after="0" w:afterAutospacing="0"/>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w:t>
            </w:r>
          </w:p>
        </w:tc>
        <w:tc>
          <w:tcPr>
            <w:tcW w:w="4154" w:type="pct"/>
            <w:hideMark/>
          </w:tcPr>
          <w:p w:rsidR="00000000" w:rsidRDefault="00827839">
            <w:pPr>
              <w:pStyle w:val="a3"/>
              <w:spacing w:before="0" w:beforeAutospacing="0" w:after="0" w:afterAutospacing="0"/>
              <w:rPr>
                <w:sz w:val="20"/>
                <w:szCs w:val="20"/>
              </w:rPr>
            </w:pPr>
            <w:hyperlink w:anchor="ITEM_1_BUSINESS" w:history="1">
              <w:r>
                <w:rPr>
                  <w:rStyle w:val="a4"/>
                  <w:sz w:val="20"/>
                  <w:szCs w:val="20"/>
                </w:rPr>
                <w:t>BUSINESS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1</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1A.</w:t>
            </w:r>
          </w:p>
        </w:tc>
        <w:tc>
          <w:tcPr>
            <w:tcW w:w="4154" w:type="pct"/>
            <w:hideMark/>
          </w:tcPr>
          <w:p w:rsidR="00000000" w:rsidRDefault="00827839">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9</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1B.</w:t>
            </w:r>
          </w:p>
        </w:tc>
        <w:tc>
          <w:tcPr>
            <w:tcW w:w="4154" w:type="pct"/>
            <w:hideMark/>
          </w:tcPr>
          <w:p w:rsidR="00000000" w:rsidRDefault="00827839">
            <w:pPr>
              <w:pStyle w:val="a3"/>
              <w:spacing w:before="0" w:beforeAutospacing="0" w:after="0" w:afterAutospacing="0"/>
              <w:rPr>
                <w:sz w:val="20"/>
                <w:szCs w:val="20"/>
              </w:rPr>
            </w:pPr>
            <w:hyperlink w:anchor="ITEM_1B_UNRESOLVED_STAFF_COMMENTS" w:history="1">
              <w:r>
                <w:rPr>
                  <w:rStyle w:val="a4"/>
                  <w:sz w:val="20"/>
                  <w:szCs w:val="20"/>
                </w:rPr>
                <w:t>UNRESOLVED STAFF COMMENTS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20</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2.</w:t>
            </w:r>
          </w:p>
        </w:tc>
        <w:tc>
          <w:tcPr>
            <w:tcW w:w="4154" w:type="pct"/>
            <w:hideMark/>
          </w:tcPr>
          <w:p w:rsidR="00000000" w:rsidRDefault="00827839">
            <w:pPr>
              <w:pStyle w:val="a3"/>
              <w:spacing w:before="0" w:beforeAutospacing="0" w:after="0" w:afterAutospacing="0"/>
              <w:rPr>
                <w:sz w:val="20"/>
                <w:szCs w:val="20"/>
              </w:rPr>
            </w:pPr>
            <w:hyperlink w:anchor="ITEM_2_PROPERTIES" w:history="1">
              <w:r>
                <w:rPr>
                  <w:rStyle w:val="a4"/>
                  <w:sz w:val="20"/>
                  <w:szCs w:val="20"/>
                </w:rPr>
                <w:t>PROPERTIES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20</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3.</w:t>
            </w:r>
          </w:p>
        </w:tc>
        <w:tc>
          <w:tcPr>
            <w:tcW w:w="4154" w:type="pct"/>
            <w:hideMark/>
          </w:tcPr>
          <w:p w:rsidR="00000000" w:rsidRDefault="00827839">
            <w:pPr>
              <w:pStyle w:val="a3"/>
              <w:spacing w:before="0" w:beforeAutospacing="0" w:after="0" w:afterAutospacing="0"/>
              <w:rPr>
                <w:sz w:val="20"/>
                <w:szCs w:val="20"/>
              </w:rPr>
            </w:pPr>
            <w:hyperlink w:anchor="ITEM_3_LEGAL_PROCEEDINGS" w:history="1">
              <w:r>
                <w:rPr>
                  <w:rStyle w:val="a4"/>
                  <w:sz w:val="20"/>
                  <w:szCs w:val="20"/>
                </w:rPr>
                <w:t>LEGAL PROCEEDINGS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20</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4.</w:t>
            </w:r>
          </w:p>
        </w:tc>
        <w:tc>
          <w:tcPr>
            <w:tcW w:w="4154" w:type="pct"/>
            <w:hideMark/>
          </w:tcPr>
          <w:p w:rsidR="00000000" w:rsidRDefault="00827839">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20</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 </w:t>
            </w:r>
          </w:p>
        </w:tc>
        <w:tc>
          <w:tcPr>
            <w:tcW w:w="4154" w:type="pct"/>
            <w:vAlign w:val="bottom"/>
            <w:hideMark/>
          </w:tcPr>
          <w:p w:rsidR="00000000" w:rsidRDefault="00827839">
            <w:pPr>
              <w:pStyle w:val="a3"/>
              <w:spacing w:before="0" w:beforeAutospacing="0" w:after="0" w:afterAutospacing="0"/>
              <w:jc w:val="center"/>
              <w:rPr>
                <w:sz w:val="20"/>
                <w:szCs w:val="20"/>
              </w:rPr>
            </w:pPr>
            <w:hyperlink w:anchor="PART_II" w:history="1">
              <w:r>
                <w:rPr>
                  <w:rStyle w:val="a4"/>
                  <w:sz w:val="20"/>
                  <w:szCs w:val="20"/>
                </w:rPr>
                <w:t>PART II</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 </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5.</w:t>
            </w:r>
          </w:p>
        </w:tc>
        <w:tc>
          <w:tcPr>
            <w:tcW w:w="4154" w:type="pct"/>
            <w:hideMark/>
          </w:tcPr>
          <w:p w:rsidR="00000000" w:rsidRDefault="00827839">
            <w:pPr>
              <w:pStyle w:val="a3"/>
              <w:spacing w:before="0" w:beforeAutospacing="0" w:after="0" w:afterAutospacing="0"/>
              <w:ind w:left="245" w:hanging="245"/>
              <w:rPr>
                <w:sz w:val="20"/>
                <w:szCs w:val="20"/>
              </w:rPr>
            </w:pPr>
            <w:hyperlink w:anchor="ITEM_5_MARKET_FOR_REGISTRANTS_COMMON_UN" w:history="1">
              <w:r>
                <w:rPr>
                  <w:rStyle w:val="a4"/>
                  <w:sz w:val="20"/>
                  <w:szCs w:val="20"/>
                </w:rPr>
                <w:t>MARKET FOR THE REGISTRANT’S COMMON UNITS, RELATED UNITHOLDER MATTERS AND ISSUER PURCHASES OF UNITS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21</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6.</w:t>
            </w:r>
          </w:p>
        </w:tc>
        <w:tc>
          <w:tcPr>
            <w:tcW w:w="4154" w:type="pct"/>
            <w:hideMark/>
          </w:tcPr>
          <w:p w:rsidR="00000000" w:rsidRDefault="00827839">
            <w:pPr>
              <w:pStyle w:val="a3"/>
              <w:spacing w:before="0" w:beforeAutospacing="0" w:after="0" w:afterAutospacing="0"/>
              <w:rPr>
                <w:sz w:val="20"/>
                <w:szCs w:val="20"/>
              </w:rPr>
            </w:pPr>
            <w:hyperlink w:anchor="ITEM_6_SELECTED_FINANCIAL_DATA" w:history="1">
              <w:r>
                <w:rPr>
                  <w:rStyle w:val="a4"/>
                  <w:sz w:val="20"/>
                  <w:szCs w:val="20"/>
                </w:rPr>
                <w:t>SELECTED FINANCIAL DATA</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22</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7.</w:t>
            </w:r>
          </w:p>
        </w:tc>
        <w:tc>
          <w:tcPr>
            <w:tcW w:w="4154" w:type="pct"/>
            <w:hideMark/>
          </w:tcPr>
          <w:p w:rsidR="00000000" w:rsidRDefault="00827839">
            <w:pPr>
              <w:pStyle w:val="a3"/>
              <w:spacing w:before="0" w:beforeAutospacing="0" w:after="0" w:afterAutospacing="0"/>
              <w:ind w:left="245" w:hanging="245"/>
              <w:rPr>
                <w:sz w:val="20"/>
                <w:szCs w:val="20"/>
              </w:rPr>
            </w:pPr>
            <w:hyperlink w:anchor="ITEM_7_MANAGEMENTS_DISCUSSION_ANALYSIS_" w:history="1">
              <w:r>
                <w:rPr>
                  <w:rStyle w:val="a4"/>
                  <w:sz w:val="20"/>
                  <w:szCs w:val="20"/>
                </w:rPr>
                <w:t>MANAGEMENT’S DISCUSSION AND ANALYSIS OF FINANCIAL CONDITION AND RESULTS OF OPERATIONS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25</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7A.</w:t>
            </w:r>
          </w:p>
        </w:tc>
        <w:tc>
          <w:tcPr>
            <w:tcW w:w="4154" w:type="pct"/>
            <w:hideMark/>
          </w:tcPr>
          <w:p w:rsidR="00000000" w:rsidRDefault="00827839">
            <w:pPr>
              <w:pStyle w:val="a3"/>
              <w:spacing w:before="0" w:beforeAutospacing="0" w:after="0" w:afterAutospacing="0"/>
              <w:rPr>
                <w:sz w:val="20"/>
                <w:szCs w:val="20"/>
              </w:rPr>
            </w:pPr>
            <w:hyperlink w:anchor="ITEM_7A_QUANTITATIVE_QUALITATIVE_DISCLO" w:history="1">
              <w:r>
                <w:rPr>
                  <w:rStyle w:val="a4"/>
                  <w:sz w:val="20"/>
                  <w:szCs w:val="20"/>
                </w:rPr>
                <w:t>QUANTITATIVE AND QUALITATIVE DISCLOSURES ABOUT MARKET RISK</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38</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8.</w:t>
            </w:r>
          </w:p>
        </w:tc>
        <w:tc>
          <w:tcPr>
            <w:tcW w:w="4154" w:type="pct"/>
            <w:hideMark/>
          </w:tcPr>
          <w:p w:rsidR="00000000" w:rsidRDefault="00827839">
            <w:pPr>
              <w:pStyle w:val="a3"/>
              <w:spacing w:before="0" w:beforeAutospacing="0" w:after="0" w:afterAutospacing="0"/>
              <w:rPr>
                <w:sz w:val="20"/>
                <w:szCs w:val="20"/>
              </w:rPr>
            </w:pPr>
            <w:hyperlink w:anchor="ITEM_8_FINANCIAL_STATEMENTS_SUPPLEMENTA" w:history="1">
              <w:r>
                <w:rPr>
                  <w:rStyle w:val="a4"/>
                  <w:sz w:val="20"/>
                  <w:szCs w:val="20"/>
                </w:rPr>
                <w:t>FINANCIAL STATEMENTS AND SUPPLEMENTARY DATA</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40</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9.</w:t>
            </w:r>
          </w:p>
        </w:tc>
        <w:tc>
          <w:tcPr>
            <w:tcW w:w="4154" w:type="pct"/>
            <w:hideMark/>
          </w:tcPr>
          <w:p w:rsidR="00000000" w:rsidRDefault="00827839">
            <w:pPr>
              <w:pStyle w:val="a3"/>
              <w:spacing w:before="0" w:beforeAutospacing="0" w:after="0" w:afterAutospacing="0"/>
              <w:ind w:left="245" w:hanging="245"/>
              <w:rPr>
                <w:sz w:val="20"/>
                <w:szCs w:val="20"/>
              </w:rPr>
            </w:pPr>
            <w:hyperlink w:anchor="ITEM_9_CHANGES_IN_DISAGREEMENTS_WITH_AC" w:history="1">
              <w:r>
                <w:rPr>
                  <w:rStyle w:val="a4"/>
                  <w:sz w:val="20"/>
                  <w:szCs w:val="20"/>
                </w:rPr>
                <w:t>CHANGES IN AND DISAGREEMENTS WITH ACCOUNTANTS ON ACCOUNTING AND FINAN</w:t>
              </w:r>
              <w:r>
                <w:rPr>
                  <w:rStyle w:val="a4"/>
                  <w:sz w:val="20"/>
                  <w:szCs w:val="20"/>
                </w:rPr>
                <w:t>CIAL DISCLOSURE</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42</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9A.</w:t>
            </w:r>
          </w:p>
        </w:tc>
        <w:tc>
          <w:tcPr>
            <w:tcW w:w="4154" w:type="pct"/>
            <w:hideMark/>
          </w:tcPr>
          <w:p w:rsidR="00000000" w:rsidRDefault="00827839">
            <w:pPr>
              <w:pStyle w:val="a3"/>
              <w:spacing w:before="0" w:beforeAutospacing="0" w:after="0" w:afterAutospacing="0"/>
              <w:rPr>
                <w:sz w:val="20"/>
                <w:szCs w:val="20"/>
              </w:rPr>
            </w:pPr>
            <w:hyperlink w:anchor="ITEM_9A_CONTROLS_PROCEDURES" w:history="1">
              <w:r>
                <w:rPr>
                  <w:rStyle w:val="a4"/>
                  <w:sz w:val="20"/>
                  <w:szCs w:val="20"/>
                </w:rPr>
                <w:t>CONTROLS AND PROCEDURES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42</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9B.</w:t>
            </w:r>
          </w:p>
        </w:tc>
        <w:tc>
          <w:tcPr>
            <w:tcW w:w="4154" w:type="pct"/>
            <w:hideMark/>
          </w:tcPr>
          <w:p w:rsidR="00000000" w:rsidRDefault="00827839">
            <w:pPr>
              <w:pStyle w:val="a3"/>
              <w:spacing w:before="0" w:beforeAutospacing="0" w:after="0" w:afterAutospacing="0"/>
              <w:rPr>
                <w:sz w:val="20"/>
                <w:szCs w:val="20"/>
              </w:rPr>
            </w:pPr>
            <w:hyperlink w:anchor="ITEM_9B_OR_INFORMATION" w:history="1">
              <w:r>
                <w:rPr>
                  <w:rStyle w:val="a4"/>
                  <w:sz w:val="20"/>
                  <w:szCs w:val="20"/>
                </w:rPr>
                <w:t>OTHER INFORMATION</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42</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 </w:t>
            </w:r>
          </w:p>
        </w:tc>
        <w:tc>
          <w:tcPr>
            <w:tcW w:w="4154" w:type="pct"/>
            <w:vAlign w:val="bottom"/>
            <w:hideMark/>
          </w:tcPr>
          <w:p w:rsidR="00000000" w:rsidRDefault="00827839">
            <w:pPr>
              <w:pStyle w:val="a3"/>
              <w:spacing w:before="0" w:beforeAutospacing="0" w:after="0" w:afterAutospacing="0"/>
              <w:jc w:val="center"/>
              <w:rPr>
                <w:sz w:val="20"/>
                <w:szCs w:val="20"/>
              </w:rPr>
            </w:pPr>
            <w:hyperlink w:anchor="PART_III" w:history="1">
              <w:r>
                <w:rPr>
                  <w:rStyle w:val="a4"/>
                  <w:sz w:val="20"/>
                  <w:szCs w:val="20"/>
                </w:rPr>
                <w:t>PART III</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 </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10.</w:t>
            </w:r>
          </w:p>
        </w:tc>
        <w:tc>
          <w:tcPr>
            <w:tcW w:w="4154" w:type="pct"/>
            <w:hideMark/>
          </w:tcPr>
          <w:p w:rsidR="00000000" w:rsidRDefault="00827839">
            <w:pPr>
              <w:pStyle w:val="a3"/>
              <w:spacing w:before="0" w:beforeAutospacing="0" w:after="0" w:afterAutospacing="0"/>
              <w:rPr>
                <w:sz w:val="20"/>
                <w:szCs w:val="20"/>
              </w:rPr>
            </w:pPr>
            <w:hyperlink w:anchor="ITEM_10_DIRECTORS_EXECUTIVE_FICERS_PART" w:history="1">
              <w:r>
                <w:rPr>
                  <w:rStyle w:val="a4"/>
                  <w:sz w:val="20"/>
                  <w:szCs w:val="20"/>
                </w:rPr>
                <w:t>DIRECTORS, EXECUTIVE OFFICERS AND PARTNERSHIP GOVERNANCE</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43</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11.</w:t>
            </w:r>
          </w:p>
        </w:tc>
        <w:tc>
          <w:tcPr>
            <w:tcW w:w="4154" w:type="pct"/>
            <w:hideMark/>
          </w:tcPr>
          <w:p w:rsidR="00000000" w:rsidRDefault="00827839">
            <w:pPr>
              <w:pStyle w:val="a3"/>
              <w:spacing w:before="0" w:beforeAutospacing="0" w:after="0" w:afterAutospacing="0"/>
              <w:rPr>
                <w:sz w:val="20"/>
                <w:szCs w:val="20"/>
              </w:rPr>
            </w:pPr>
            <w:hyperlink w:anchor="ITEM_11_EXECUTIVE_COMPENSATION" w:history="1">
              <w:r>
                <w:rPr>
                  <w:rStyle w:val="a4"/>
                  <w:sz w:val="20"/>
                  <w:szCs w:val="20"/>
                </w:rPr>
                <w:t>EXECUTIVE COMPENSATION</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49</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12.</w:t>
            </w:r>
          </w:p>
        </w:tc>
        <w:tc>
          <w:tcPr>
            <w:tcW w:w="4154" w:type="pct"/>
            <w:hideMark/>
          </w:tcPr>
          <w:p w:rsidR="00000000" w:rsidRDefault="00827839">
            <w:pPr>
              <w:pStyle w:val="a3"/>
              <w:spacing w:before="0" w:beforeAutospacing="0" w:after="0" w:afterAutospacing="0"/>
              <w:ind w:left="245" w:hanging="245"/>
              <w:rPr>
                <w:sz w:val="20"/>
                <w:szCs w:val="20"/>
              </w:rPr>
            </w:pPr>
            <w:hyperlink w:anchor="ITEM_12_SECURITY_OWNERSHIP" w:history="1">
              <w:r>
                <w:rPr>
                  <w:rStyle w:val="a4"/>
                  <w:sz w:val="20"/>
                  <w:szCs w:val="20"/>
                </w:rPr>
                <w:t>SECURITY OWNERSHIP OF CERTAIN BENEFICIAL OWNERS AND MANAGEMENT AND RELATED UNITHOLDER MATTERS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79</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lastRenderedPageBreak/>
              <w:t>ITEM 13.</w:t>
            </w:r>
          </w:p>
        </w:tc>
        <w:tc>
          <w:tcPr>
            <w:tcW w:w="4154" w:type="pct"/>
            <w:hideMark/>
          </w:tcPr>
          <w:p w:rsidR="00000000" w:rsidRDefault="00827839">
            <w:pPr>
              <w:pStyle w:val="a3"/>
              <w:spacing w:before="0" w:beforeAutospacing="0" w:after="0" w:afterAutospacing="0"/>
              <w:rPr>
                <w:sz w:val="20"/>
                <w:szCs w:val="20"/>
              </w:rPr>
            </w:pPr>
            <w:hyperlink w:anchor="ITEM_13_CERTAIN_RELATIONSHIPS_RELATED_T" w:history="1">
              <w:r>
                <w:rPr>
                  <w:rStyle w:val="a4"/>
                  <w:sz w:val="20"/>
                  <w:szCs w:val="20"/>
                </w:rPr>
                <w:t>CERTAIN RELATIONSHIPS AND RELATED TRANSACTIONS, AND DIRECTOR INDEPENDENCE</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81</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14.</w:t>
            </w:r>
          </w:p>
        </w:tc>
        <w:tc>
          <w:tcPr>
            <w:tcW w:w="4154" w:type="pct"/>
            <w:hideMark/>
          </w:tcPr>
          <w:p w:rsidR="00000000" w:rsidRDefault="00827839">
            <w:pPr>
              <w:pStyle w:val="a3"/>
              <w:spacing w:before="0" w:beforeAutospacing="0" w:after="0" w:afterAutospacing="0"/>
              <w:rPr>
                <w:sz w:val="20"/>
                <w:szCs w:val="20"/>
              </w:rPr>
            </w:pPr>
            <w:hyperlink w:anchor="ITEM_14_PRINCIPAL_ACCOUNTING_FEES_SERVI" w:history="1">
              <w:r>
                <w:rPr>
                  <w:rStyle w:val="a4"/>
                  <w:sz w:val="20"/>
                  <w:szCs w:val="20"/>
                </w:rPr>
                <w:t>PRINCIPAL ACCOUNTING FEES AND SERVICES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82</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 </w:t>
            </w:r>
          </w:p>
        </w:tc>
        <w:tc>
          <w:tcPr>
            <w:tcW w:w="4154" w:type="pct"/>
            <w:vAlign w:val="bottom"/>
            <w:hideMark/>
          </w:tcPr>
          <w:p w:rsidR="00000000" w:rsidRDefault="00827839">
            <w:pPr>
              <w:pStyle w:val="a3"/>
              <w:spacing w:before="0" w:beforeAutospacing="0" w:after="0" w:afterAutospacing="0"/>
              <w:jc w:val="center"/>
              <w:rPr>
                <w:sz w:val="20"/>
                <w:szCs w:val="20"/>
              </w:rPr>
            </w:pPr>
            <w:hyperlink w:anchor="PART_IV" w:history="1">
              <w:r>
                <w:rPr>
                  <w:rStyle w:val="a4"/>
                  <w:sz w:val="20"/>
                  <w:szCs w:val="20"/>
                </w:rPr>
                <w:t>PART IV</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 </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15.</w:t>
            </w:r>
          </w:p>
        </w:tc>
        <w:tc>
          <w:tcPr>
            <w:tcW w:w="4154" w:type="pct"/>
            <w:hideMark/>
          </w:tcPr>
          <w:p w:rsidR="00000000" w:rsidRDefault="00827839">
            <w:pPr>
              <w:pStyle w:val="a3"/>
              <w:spacing w:before="0" w:beforeAutospacing="0" w:after="0" w:afterAutospacing="0"/>
              <w:rPr>
                <w:sz w:val="20"/>
                <w:szCs w:val="20"/>
              </w:rPr>
            </w:pPr>
            <w:hyperlink w:anchor="ITEM_15_EXHIBITS_FINANCIAL_STATEMENT_SC" w:history="1">
              <w:r>
                <w:rPr>
                  <w:rStyle w:val="a4"/>
                  <w:sz w:val="20"/>
                  <w:szCs w:val="20"/>
                </w:rPr>
                <w:t>EXHIBITS, FINANCIAL STATEMENT SCHEDULES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83</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625" w:type="pct"/>
            <w:hideMark/>
          </w:tcPr>
          <w:p w:rsidR="00000000" w:rsidRDefault="00827839">
            <w:pPr>
              <w:pStyle w:val="a3"/>
              <w:spacing w:before="0" w:beforeAutospacing="0" w:after="0" w:afterAutospacing="0"/>
              <w:rPr>
                <w:sz w:val="20"/>
                <w:szCs w:val="20"/>
              </w:rPr>
            </w:pPr>
            <w:r>
              <w:rPr>
                <w:sz w:val="20"/>
                <w:szCs w:val="20"/>
              </w:rPr>
              <w:t>ITEM 16.</w:t>
            </w:r>
          </w:p>
        </w:tc>
        <w:tc>
          <w:tcPr>
            <w:tcW w:w="4154" w:type="pct"/>
            <w:hideMark/>
          </w:tcPr>
          <w:p w:rsidR="00000000" w:rsidRDefault="00827839">
            <w:pPr>
              <w:pStyle w:val="a3"/>
              <w:spacing w:before="0" w:beforeAutospacing="0" w:after="0" w:afterAutospacing="0"/>
              <w:rPr>
                <w:sz w:val="20"/>
                <w:szCs w:val="20"/>
              </w:rPr>
            </w:pPr>
            <w:hyperlink w:anchor="ITEM_16_FORM_10K_SUMMARY" w:history="1">
              <w:r>
                <w:rPr>
                  <w:rStyle w:val="a4"/>
                  <w:sz w:val="20"/>
                  <w:szCs w:val="20"/>
                </w:rPr>
                <w:t>FORM 10-K SUMMARY</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83</w:t>
            </w:r>
          </w:p>
        </w:tc>
      </w:tr>
      <w:tr w:rsidR="00000000">
        <w:trPr>
          <w:divId w:val="654800711"/>
        </w:trPr>
        <w:tc>
          <w:tcPr>
            <w:tcW w:w="625" w:type="pct"/>
            <w:hideMark/>
          </w:tcPr>
          <w:p w:rsidR="00000000" w:rsidRDefault="00827839">
            <w:pPr>
              <w:pStyle w:val="a3"/>
              <w:spacing w:before="0" w:beforeAutospacing="0" w:after="0" w:afterAutospacing="0"/>
              <w:rPr>
                <w:sz w:val="12"/>
                <w:szCs w:val="12"/>
              </w:rPr>
            </w:pPr>
            <w:r>
              <w:rPr>
                <w:sz w:val="12"/>
                <w:szCs w:val="12"/>
              </w:rPr>
              <w:t> </w:t>
            </w:r>
          </w:p>
        </w:tc>
        <w:tc>
          <w:tcPr>
            <w:tcW w:w="4154" w:type="pct"/>
            <w:hideMark/>
          </w:tcPr>
          <w:p w:rsidR="00000000" w:rsidRDefault="00827839">
            <w:pPr>
              <w:pStyle w:val="a3"/>
              <w:spacing w:before="0" w:beforeAutospacing="0" w:after="0" w:afterAutospacing="0"/>
              <w:rPr>
                <w:sz w:val="12"/>
                <w:szCs w:val="12"/>
              </w:rPr>
            </w:pPr>
            <w:r>
              <w:rPr>
                <w:sz w:val="12"/>
                <w:szCs w:val="12"/>
              </w:rPr>
              <w:t> </w:t>
            </w:r>
          </w:p>
        </w:tc>
        <w:tc>
          <w:tcPr>
            <w:tcW w:w="221"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654800711"/>
        </w:trPr>
        <w:tc>
          <w:tcPr>
            <w:tcW w:w="4779" w:type="pct"/>
            <w:gridSpan w:val="2"/>
            <w:hideMark/>
          </w:tcPr>
          <w:p w:rsidR="00000000" w:rsidRDefault="00827839">
            <w:pPr>
              <w:pStyle w:val="a3"/>
              <w:spacing w:before="0" w:beforeAutospacing="0" w:after="0" w:afterAutospacing="0"/>
              <w:rPr>
                <w:sz w:val="20"/>
                <w:szCs w:val="20"/>
              </w:rPr>
            </w:pPr>
            <w:hyperlink w:anchor="SIGNATURES_2" w:history="1">
              <w:r>
                <w:rPr>
                  <w:rStyle w:val="a4"/>
                  <w:sz w:val="20"/>
                  <w:szCs w:val="20"/>
                </w:rPr>
                <w:t>SIGNATURES</w:t>
              </w:r>
            </w:hyperlink>
          </w:p>
        </w:tc>
        <w:tc>
          <w:tcPr>
            <w:tcW w:w="221" w:type="pct"/>
            <w:vAlign w:val="bottom"/>
            <w:hideMark/>
          </w:tcPr>
          <w:p w:rsidR="00000000" w:rsidRDefault="00827839">
            <w:pPr>
              <w:pStyle w:val="a3"/>
              <w:spacing w:before="0" w:beforeAutospacing="0" w:after="0" w:afterAutospacing="0"/>
              <w:jc w:val="center"/>
              <w:rPr>
                <w:sz w:val="20"/>
                <w:szCs w:val="20"/>
              </w:rPr>
            </w:pPr>
            <w:r>
              <w:rPr>
                <w:sz w:val="20"/>
                <w:szCs w:val="20"/>
              </w:rPr>
              <w:t>87</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rPr>
          <w:rFonts w:eastAsia="Times New Roman"/>
        </w:rPr>
      </w:pPr>
      <w:r>
        <w:rPr>
          <w:rFonts w:eastAsia="Times New Roman"/>
        </w:rPr>
        <w:pict>
          <v:rect id="_x0000_i102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rPr>
          <w:b/>
          <w:bCs/>
          <w:sz w:val="20"/>
          <w:szCs w:val="20"/>
        </w:rPr>
      </w:pPr>
      <w:r>
        <w:rPr>
          <w:b/>
          <w:bCs/>
          <w:sz w:val="20"/>
          <w:szCs w:val="20"/>
          <w:u w:val="single"/>
        </w:rPr>
        <w:t>DISCLOSURE REGARDING FORWARD-LOOKING STATEMENTS</w:t>
      </w:r>
    </w:p>
    <w:p w:rsidR="00000000" w:rsidRDefault="00827839">
      <w:pPr>
        <w:pStyle w:val="a3"/>
        <w:spacing w:before="120" w:beforeAutospacing="0" w:after="0" w:afterAutospacing="0"/>
        <w:ind w:firstLine="556"/>
        <w:jc w:val="both"/>
        <w:rPr>
          <w:sz w:val="20"/>
          <w:szCs w:val="20"/>
        </w:rPr>
      </w:pPr>
      <w:r>
        <w:rPr>
          <w:sz w:val="20"/>
          <w:szCs w:val="20"/>
        </w:rPr>
        <w:t>This Annual Report on Form 10-K contains forward-looking statements (“Forward-Looking Statements”) as defined in</w:t>
      </w:r>
      <w:r>
        <w:rPr>
          <w:sz w:val="20"/>
          <w:szCs w:val="20"/>
        </w:rPr>
        <w:t xml:space="preserve"> the Private Securities Litigation Reform Act of 1995, Section 27A of the Securities Act of 1933, as amended, and Section 21E of the Securities Exchange Act of 1934, as amended, relating to future business expectations and predictions and financial conditi</w:t>
      </w:r>
      <w:r>
        <w:rPr>
          <w:sz w:val="20"/>
          <w:szCs w:val="20"/>
        </w:rPr>
        <w:t>on and results of operations of Suburban Propane Partners, L.P. (the “Partnership”). Some of these statements can be identified by the use of forward-looking terminology such as “prospects,” “outlook,” “believes,” “estimates,” “intends,” “may,” “will,” “sh</w:t>
      </w:r>
      <w:r>
        <w:rPr>
          <w:sz w:val="20"/>
          <w:szCs w:val="20"/>
        </w:rPr>
        <w:t xml:space="preserve">ould,” “could,” “anticipates,” “expects” or “plans” or the negative or other variation of these or similar words, or by discussion of trends and conditions, strategies or risks and uncertainties.  These Forward-Looking Statements involve certain risks and </w:t>
      </w:r>
      <w:r>
        <w:rPr>
          <w:sz w:val="20"/>
          <w:szCs w:val="20"/>
        </w:rPr>
        <w:t>uncertainties that could cause actual results to differ materially from those discussed or implied in such Forward-Looking Statements (statements contained in this Annual Report identifying such risks and uncertainties are referred to as “Cautionary Statem</w:t>
      </w:r>
      <w:r>
        <w:rPr>
          <w:sz w:val="20"/>
          <w:szCs w:val="20"/>
        </w:rPr>
        <w:t>ents”). The risks and uncertainties and their impact on the Partnership’s results include, but are not limited to, the following risks: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296908657"/>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impact of weather conditions on the demand for propane, fuel oil and other refined fuels, natural gas and electr</w:t>
            </w:r>
            <w:r>
              <w:rPr>
                <w:sz w:val="20"/>
                <w:szCs w:val="20"/>
              </w:rPr>
              <w:t>icity;</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Volatility in the unit cost of propane, fuel oil and other refined fuels, natural gas and electricity, the impact of the Partnership’s hedging and risk management activities, and the adverse impact of price increases on volumes sold as a result of customer</w:t>
            </w:r>
            <w:r>
              <w:rPr>
                <w:sz w:val="20"/>
                <w:szCs w:val="20"/>
              </w:rPr>
              <w:t xml:space="preserve"> conservation;</w:t>
            </w:r>
          </w:p>
        </w:tc>
      </w:tr>
    </w:tbl>
    <w:p w:rsidR="00000000" w:rsidRDefault="00827839">
      <w:pPr>
        <w:divId w:val="48536585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85365858"/>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ability of the Partnership to compete with other suppliers of propane, fuel oil and other energy sources;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impact on the price and supply of propane, fuel oil and other refined fuels from the political, military or economic instability of the oil producing nations, global terrorism and other general economic conditions;</w:t>
            </w:r>
          </w:p>
        </w:tc>
      </w:tr>
    </w:tbl>
    <w:p w:rsidR="00000000" w:rsidRDefault="00827839">
      <w:pPr>
        <w:divId w:val="49206765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92067654"/>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The ability of the Partnership </w:t>
            </w:r>
            <w:r>
              <w:rPr>
                <w:sz w:val="20"/>
                <w:szCs w:val="20"/>
              </w:rPr>
              <w:t>to acquire sufficient volumes of, and the costs to the Partnership of acquiring, transporting and storing, propane, fuel oil and other refined fuels;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ability of the Partnership to acquire and maintain reliable transportation for its propane, fuel oil and other refined fuels;</w:t>
            </w:r>
          </w:p>
        </w:tc>
      </w:tr>
    </w:tbl>
    <w:p w:rsidR="00000000" w:rsidRDefault="00827839">
      <w:pPr>
        <w:divId w:val="170540574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705405744"/>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ability of the Partnership to retain customers or acquire new customers;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The impact of customer conservation, </w:t>
            </w:r>
            <w:r>
              <w:rPr>
                <w:sz w:val="20"/>
                <w:szCs w:val="20"/>
              </w:rPr>
              <w:t>energy efficiency and technology advances on the demand for propane, fuel oil and other refined fuels, natural gas and electricity;</w:t>
            </w:r>
          </w:p>
        </w:tc>
      </w:tr>
    </w:tbl>
    <w:p w:rsidR="00000000" w:rsidRDefault="00827839">
      <w:pPr>
        <w:divId w:val="38171125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381711252"/>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ability of management to continue to control expenses;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impact of changes in applicable statutes and gove</w:t>
            </w:r>
            <w:r>
              <w:rPr>
                <w:sz w:val="20"/>
                <w:szCs w:val="20"/>
              </w:rPr>
              <w:t>rnment regulations, or their interpretations, including those relating to the environment and climate change, derivative instruments and other regulatory developments on the Partnership’s business;</w:t>
            </w:r>
          </w:p>
        </w:tc>
      </w:tr>
    </w:tbl>
    <w:p w:rsidR="00000000" w:rsidRDefault="00827839">
      <w:pPr>
        <w:divId w:val="13703665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37036651"/>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impact of changes in tax laws that could adversely affect the tax treatment of the Partnership for income tax purposes;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lastRenderedPageBreak/>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impact of legal proceedings on the Partnership’s business;</w:t>
            </w:r>
          </w:p>
        </w:tc>
      </w:tr>
    </w:tbl>
    <w:p w:rsidR="00000000" w:rsidRDefault="00827839">
      <w:pPr>
        <w:divId w:val="65885242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58852421"/>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impact of operating hazards that could adversely affe</w:t>
            </w:r>
            <w:r>
              <w:rPr>
                <w:sz w:val="20"/>
                <w:szCs w:val="20"/>
              </w:rPr>
              <w:t>ct the Partnership’s operating results to the extent not covered by insurance;</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Partnership’s ability to make strategic acquisitions and successfully integrate them;</w:t>
            </w:r>
          </w:p>
        </w:tc>
      </w:tr>
    </w:tbl>
    <w:p w:rsidR="00000000" w:rsidRDefault="00827839">
      <w:pPr>
        <w:divId w:val="45170624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5170624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The impact of current conditions in the global capital and credit markets, </w:t>
            </w:r>
            <w:r>
              <w:rPr>
                <w:sz w:val="20"/>
                <w:szCs w:val="20"/>
              </w:rPr>
              <w:t>and general economic pressures;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operating, legal and regulatory risks the Partnership may face; and</w:t>
            </w:r>
          </w:p>
        </w:tc>
      </w:tr>
    </w:tbl>
    <w:p w:rsidR="00000000" w:rsidRDefault="00827839">
      <w:pPr>
        <w:divId w:val="96241894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62418945"/>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Other risks referenced from time to time in filings with the Securities and Exchange Commission (“SEC”) and those factors listed or incorporated by reference into this Annual Report under “Risk Factors.”</w:t>
            </w:r>
          </w:p>
        </w:tc>
      </w:tr>
    </w:tbl>
    <w:p w:rsidR="00000000" w:rsidRDefault="00827839">
      <w:pPr>
        <w:pStyle w:val="a3"/>
        <w:spacing w:before="240" w:beforeAutospacing="0" w:after="0" w:afterAutospacing="0"/>
        <w:ind w:firstLine="556"/>
        <w:jc w:val="both"/>
        <w:rPr>
          <w:spacing w:val="-2"/>
          <w:sz w:val="20"/>
          <w:szCs w:val="20"/>
        </w:rPr>
      </w:pPr>
      <w:r>
        <w:rPr>
          <w:spacing w:val="-2"/>
          <w:sz w:val="20"/>
          <w:szCs w:val="20"/>
        </w:rPr>
        <w:t>Some of these Forward-Looking Statements are discus</w:t>
      </w:r>
      <w:r>
        <w:rPr>
          <w:spacing w:val="-2"/>
          <w:sz w:val="20"/>
          <w:szCs w:val="20"/>
        </w:rPr>
        <w:t>sed in more detail in “Management’s Discussion and Analysis of Financial Condition and Results of Operations” in this Annual Report.  Reference is also made to the risk factors discussed in Item 1A of this Annual Report. On different occasions, the Partner</w:t>
      </w:r>
      <w:r>
        <w:rPr>
          <w:spacing w:val="-2"/>
          <w:sz w:val="20"/>
          <w:szCs w:val="20"/>
        </w:rPr>
        <w:t>ship or its representatives have made or may make Forward-Looking Statements in other filings with the SEC, press releases or oral statements made by or with the approval of one of the Partnership’s authorized executive officers.  Readers are cautioned not</w:t>
      </w:r>
      <w:r>
        <w:rPr>
          <w:spacing w:val="-2"/>
          <w:sz w:val="20"/>
          <w:szCs w:val="20"/>
        </w:rPr>
        <w:t xml:space="preserve"> to place undue reliance on Forward-Looking Statements, which reflect management’s view only as of the date made.  The Partnership undertakes no obligation to update any Forward-Looking Statement or Cautionary Statement, except as required by law.  All sub</w:t>
      </w:r>
      <w:r>
        <w:rPr>
          <w:spacing w:val="-2"/>
          <w:sz w:val="20"/>
          <w:szCs w:val="20"/>
        </w:rPr>
        <w:t>sequent written and oral Forward-Looking Statements attributable to the Partnership or persons acting on its behalf are expressly qualified in their entirety by the Cautionary Statements in this Annual Report and in future SEC reports.  For a more complete</w:t>
      </w:r>
      <w:r>
        <w:rPr>
          <w:spacing w:val="-2"/>
          <w:sz w:val="20"/>
          <w:szCs w:val="20"/>
        </w:rPr>
        <w:t xml:space="preserve"> discussion of specific factors which could cause actual results to differ from those in the Forward-Looking Statements or Cautionary Statements, see “Risk Factors” in this Annual Report.</w:t>
      </w:r>
    </w:p>
    <w:p w:rsidR="00000000" w:rsidRDefault="00827839">
      <w:pPr>
        <w:pStyle w:val="a3"/>
        <w:spacing w:before="0" w:beforeAutospacing="0" w:after="0" w:afterAutospacing="0"/>
        <w:jc w:val="both"/>
        <w:rPr>
          <w:sz w:val="4"/>
          <w:szCs w:val="4"/>
        </w:rPr>
      </w:pPr>
      <w:r>
        <w:rPr>
          <w:sz w:val="4"/>
          <w:szCs w:val="4"/>
        </w:rPr>
        <w:t> </w:t>
      </w:r>
    </w:p>
    <w:p w:rsidR="00000000" w:rsidRDefault="00827839">
      <w:pPr>
        <w:pStyle w:val="a3"/>
        <w:spacing w:before="0" w:beforeAutospacing="0" w:after="0" w:afterAutospacing="0"/>
        <w:jc w:val="both"/>
        <w:rPr>
          <w:sz w:val="4"/>
          <w:szCs w:val="4"/>
        </w:rPr>
      </w:pPr>
      <w:r>
        <w:rPr>
          <w:sz w:val="4"/>
          <w:szCs w:val="4"/>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rPr>
          <w:rFonts w:eastAsia="Times New Roman"/>
        </w:rPr>
      </w:pPr>
      <w:r>
        <w:rPr>
          <w:rFonts w:eastAsia="Times New Roman"/>
        </w:rPr>
        <w:pict>
          <v:rect id="_x0000_i102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center"/>
        <w:rPr>
          <w:b/>
          <w:bCs/>
          <w:sz w:val="20"/>
          <w:szCs w:val="20"/>
        </w:rPr>
      </w:pPr>
      <w:r>
        <w:rPr>
          <w:b/>
          <w:bCs/>
          <w:sz w:val="20"/>
          <w:szCs w:val="20"/>
        </w:rPr>
        <w:t>PART I</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366371876"/>
        </w:trPr>
        <w:tc>
          <w:tcPr>
            <w:tcW w:w="513" w:type="pct"/>
            <w:noWrap/>
            <w:hideMark/>
          </w:tcPr>
          <w:p w:rsidR="00000000" w:rsidRDefault="00827839">
            <w:pPr>
              <w:pStyle w:val="a3"/>
              <w:spacing w:before="240" w:beforeAutospacing="0" w:after="0" w:afterAutospacing="0"/>
              <w:jc w:val="both"/>
              <w:rPr>
                <w:b/>
                <w:bCs/>
                <w:sz w:val="20"/>
                <w:szCs w:val="20"/>
              </w:rPr>
            </w:pPr>
            <w:r>
              <w:rPr>
                <w:b/>
                <w:bCs/>
                <w:sz w:val="20"/>
                <w:szCs w:val="20"/>
              </w:rPr>
              <w:t>ITEM 1.</w:t>
            </w:r>
          </w:p>
        </w:tc>
        <w:tc>
          <w:tcPr>
            <w:tcW w:w="0" w:type="auto"/>
            <w:hideMark/>
          </w:tcPr>
          <w:p w:rsidR="00000000" w:rsidRDefault="00827839">
            <w:pPr>
              <w:pStyle w:val="a3"/>
              <w:spacing w:before="240" w:beforeAutospacing="0" w:after="0" w:afterAutospacing="0"/>
              <w:jc w:val="both"/>
              <w:rPr>
                <w:b/>
                <w:bCs/>
                <w:sz w:val="20"/>
                <w:szCs w:val="20"/>
              </w:rPr>
            </w:pPr>
            <w:r>
              <w:rPr>
                <w:b/>
                <w:bCs/>
                <w:sz w:val="20"/>
                <w:szCs w:val="20"/>
              </w:rPr>
              <w:t>BUSINESS</w:t>
            </w:r>
          </w:p>
        </w:tc>
      </w:tr>
    </w:tbl>
    <w:p w:rsidR="00000000" w:rsidRDefault="00827839">
      <w:pPr>
        <w:pStyle w:val="a3"/>
        <w:spacing w:before="120" w:beforeAutospacing="0" w:after="0" w:afterAutospacing="0"/>
        <w:jc w:val="both"/>
        <w:rPr>
          <w:b/>
          <w:bCs/>
          <w:sz w:val="20"/>
          <w:szCs w:val="20"/>
        </w:rPr>
      </w:pPr>
      <w:r>
        <w:rPr>
          <w:b/>
          <w:bCs/>
          <w:sz w:val="20"/>
          <w:szCs w:val="20"/>
        </w:rPr>
        <w:t>Development of Business</w:t>
      </w:r>
    </w:p>
    <w:p w:rsidR="00000000" w:rsidRDefault="00827839">
      <w:pPr>
        <w:pStyle w:val="a3"/>
        <w:spacing w:before="120" w:beforeAutospacing="0" w:after="0" w:afterAutospacing="0"/>
        <w:ind w:firstLine="556"/>
        <w:jc w:val="both"/>
        <w:rPr>
          <w:sz w:val="20"/>
          <w:szCs w:val="20"/>
        </w:rPr>
      </w:pPr>
      <w:r>
        <w:rPr>
          <w:sz w:val="20"/>
          <w:szCs w:val="20"/>
        </w:rPr>
        <w:t>Suburban Propane Partners, L.P. (the “Partnership”</w:t>
      </w:r>
      <w:r>
        <w:rPr>
          <w:sz w:val="20"/>
          <w:szCs w:val="20"/>
        </w:rPr>
        <w:t xml:space="preserve">), a publicly traded Delaware limited partnership, is a nationwide marketer and distributor of a diverse array of products meeting the energy needs of our customers.  We specialize in the distribution of propane, fuel oil and refined fuels, as well as the </w:t>
      </w:r>
      <w:r>
        <w:rPr>
          <w:sz w:val="20"/>
          <w:szCs w:val="20"/>
        </w:rPr>
        <w:t>marketing of natural gas and electricity in deregulated markets.  In support of our core marketing and distribution operations, we install and service a variety of home comfort equipment, particularly in the areas of heating and ventilation.  We believe, b</w:t>
      </w:r>
      <w:r>
        <w:rPr>
          <w:sz w:val="20"/>
          <w:szCs w:val="20"/>
        </w:rPr>
        <w:t xml:space="preserve">ased on </w:t>
      </w:r>
      <w:r>
        <w:rPr>
          <w:i/>
          <w:iCs/>
          <w:sz w:val="20"/>
          <w:szCs w:val="20"/>
        </w:rPr>
        <w:t>LP/Gas Magazine</w:t>
      </w:r>
      <w:r>
        <w:rPr>
          <w:sz w:val="20"/>
          <w:szCs w:val="20"/>
        </w:rPr>
        <w:t xml:space="preserve"> dated February 2019, that we are the third largest retail marketer of propane in the United States, measured by retail gallons sold in the calendar year 2018.  As of September 28, 2019, we were serving the energy needs of approximat</w:t>
      </w:r>
      <w:r>
        <w:rPr>
          <w:sz w:val="20"/>
          <w:szCs w:val="20"/>
        </w:rPr>
        <w:t>ely 1.0 million residential, commercial, industrial and agricultural customers through approximately 700 locations in 41 states with operations principally concentrated in the east and west coast regions of the United States, as well as portions of the mid</w:t>
      </w:r>
      <w:r>
        <w:rPr>
          <w:sz w:val="20"/>
          <w:szCs w:val="20"/>
        </w:rPr>
        <w:t>west region of the United States and Alaska.  We sold approximately 426.7 million gallons of propane and 29.8 million gallons of fuel oil and refined fuels to retail customers during the year ended September 28, 2019. Together with our predecessor companie</w:t>
      </w:r>
      <w:r>
        <w:rPr>
          <w:sz w:val="20"/>
          <w:szCs w:val="20"/>
        </w:rPr>
        <w:t>s, we have been continuously engaged in the retail propane business since 1928.</w:t>
      </w:r>
    </w:p>
    <w:p w:rsidR="00000000" w:rsidRDefault="00827839">
      <w:pPr>
        <w:pStyle w:val="a3"/>
        <w:spacing w:before="240" w:beforeAutospacing="0" w:after="0" w:afterAutospacing="0"/>
        <w:ind w:firstLine="556"/>
        <w:jc w:val="both"/>
        <w:rPr>
          <w:sz w:val="20"/>
          <w:szCs w:val="20"/>
        </w:rPr>
      </w:pPr>
      <w:r>
        <w:rPr>
          <w:sz w:val="20"/>
          <w:szCs w:val="20"/>
        </w:rPr>
        <w:t>We conduct our business principally through Suburban Propane, L.P., a Delaware limited partnership, which operates our propane business and assets (the “Operating Partnership”)</w:t>
      </w:r>
      <w:r>
        <w:rPr>
          <w:sz w:val="20"/>
          <w:szCs w:val="20"/>
        </w:rPr>
        <w:t>, and its direct and indirect subsidiaries.  Our general partner, and the general partner of our Operating Partnership, is Suburban Energy Services Group LLC (the “General Partner”), a Delaware limited liability company whose sole member is the Chief Execu</w:t>
      </w:r>
      <w:r>
        <w:rPr>
          <w:sz w:val="20"/>
          <w:szCs w:val="20"/>
        </w:rPr>
        <w:t>tive Officer of the Partnership.  Since October 19, 2006, the General Partner has no economic interest in either the Partnership or the Operating Partnership (which means that the General Partner is not entitled to any cash distributions of either partners</w:t>
      </w:r>
      <w:r>
        <w:rPr>
          <w:sz w:val="20"/>
          <w:szCs w:val="20"/>
        </w:rPr>
        <w:t xml:space="preserve">hip, nor to any </w:t>
      </w:r>
      <w:r>
        <w:rPr>
          <w:sz w:val="20"/>
          <w:szCs w:val="20"/>
        </w:rPr>
        <w:lastRenderedPageBreak/>
        <w:t>cash payment upon the liquidation of either partnership, nor any other economic rights in either partnership) other than as a holder of 784 Common Units of the Partnership.  Additionally, under the Third Amended and Restated Agreement of Li</w:t>
      </w:r>
      <w:r>
        <w:rPr>
          <w:sz w:val="20"/>
          <w:szCs w:val="20"/>
        </w:rPr>
        <w:t>mited Partnership (the “Partnership Agreement”) of the Partnership, there are no incentive distribution rights for the benefit of the General Partner.  The Partnership owns (directly and indirectly) all of the limited partner interests in the Operating Par</w:t>
      </w:r>
      <w:r>
        <w:rPr>
          <w:sz w:val="20"/>
          <w:szCs w:val="20"/>
        </w:rPr>
        <w:t>tnership.  The Common Units represent 100% of the limited partner interests in the Partnership.</w:t>
      </w:r>
    </w:p>
    <w:p w:rsidR="00000000" w:rsidRDefault="00827839">
      <w:pPr>
        <w:pStyle w:val="a3"/>
        <w:spacing w:before="240" w:beforeAutospacing="0" w:after="0" w:afterAutospacing="0"/>
        <w:ind w:firstLine="556"/>
        <w:jc w:val="both"/>
        <w:rPr>
          <w:sz w:val="20"/>
          <w:szCs w:val="20"/>
        </w:rPr>
      </w:pPr>
      <w:r>
        <w:rPr>
          <w:sz w:val="20"/>
          <w:szCs w:val="20"/>
        </w:rPr>
        <w:t>Direct and indirect subsidiaries of the Operating Partnership include Suburban Heating Oil Partners, LLC, which owns and operates the assets of our fuel oil and</w:t>
      </w:r>
      <w:r>
        <w:rPr>
          <w:sz w:val="20"/>
          <w:szCs w:val="20"/>
        </w:rPr>
        <w:t xml:space="preserve"> refined fuels business; Agway Energy Services, LLC, which owns and operates the assets of our natural gas and electricity business; and Suburban Sales and Service, Inc., which conducts a portion of our service work and appliance and parts business.  Our f</w:t>
      </w:r>
      <w:r>
        <w:rPr>
          <w:sz w:val="20"/>
          <w:szCs w:val="20"/>
        </w:rPr>
        <w:t xml:space="preserve">uel oil and refined fuels, natural gas and electricity and services businesses are structured as either limited liability companies that are treated as corporations or corporate entities (collectively referred to as “Corporate Entities”) and, as such, are </w:t>
      </w:r>
      <w:r>
        <w:rPr>
          <w:sz w:val="20"/>
          <w:szCs w:val="20"/>
        </w:rPr>
        <w:t>subject to corporate level income tax.</w:t>
      </w:r>
    </w:p>
    <w:p w:rsidR="00000000" w:rsidRDefault="00827839">
      <w:pPr>
        <w:pStyle w:val="a3"/>
        <w:spacing w:before="240" w:beforeAutospacing="0" w:after="0" w:afterAutospacing="0"/>
        <w:ind w:firstLine="556"/>
        <w:jc w:val="both"/>
        <w:rPr>
          <w:sz w:val="20"/>
          <w:szCs w:val="20"/>
        </w:rPr>
      </w:pPr>
      <w:r>
        <w:rPr>
          <w:sz w:val="20"/>
          <w:szCs w:val="20"/>
        </w:rPr>
        <w:t>Suburban Energy Finance Corp., a direct 100%-owned subsidiary of the Partnership, was formed on November 26, 2003 to serve as co-issuer, jointly and severally with the Partnership, of the Partnership’s senior notes. S</w:t>
      </w:r>
      <w:r>
        <w:rPr>
          <w:sz w:val="20"/>
          <w:szCs w:val="20"/>
        </w:rPr>
        <w:t>uburban Energy Finance Corp. has nominal assets and conducts no business operations.</w:t>
      </w:r>
    </w:p>
    <w:p w:rsidR="00000000" w:rsidRDefault="00827839">
      <w:pPr>
        <w:pStyle w:val="a3"/>
        <w:spacing w:before="240" w:beforeAutospacing="0" w:after="0" w:afterAutospacing="0"/>
        <w:ind w:firstLine="556"/>
        <w:jc w:val="both"/>
        <w:rPr>
          <w:sz w:val="20"/>
          <w:szCs w:val="20"/>
        </w:rPr>
      </w:pPr>
      <w:r>
        <w:rPr>
          <w:sz w:val="20"/>
          <w:szCs w:val="20"/>
        </w:rPr>
        <w:t xml:space="preserve">In this Annual Report, unless otherwise indicated, the terms “Partnership,” “Suburban,” “we,” “us,” and “our” are used to refer to Suburban Propane Partners, L.P. and its </w:t>
      </w:r>
      <w:r>
        <w:rPr>
          <w:sz w:val="20"/>
          <w:szCs w:val="20"/>
        </w:rPr>
        <w:t>consolidated subsidiaries, including the Operating Partnership. The Partnership and the Operating Partnership commenced operations in March 1996 in connection with the Partnership’s initial public offering of Common Units.</w:t>
      </w:r>
    </w:p>
    <w:p w:rsidR="00000000" w:rsidRDefault="00827839">
      <w:pPr>
        <w:pStyle w:val="a3"/>
        <w:spacing w:before="240" w:beforeAutospacing="0" w:after="0" w:afterAutospacing="0"/>
        <w:ind w:firstLine="556"/>
        <w:jc w:val="both"/>
        <w:rPr>
          <w:sz w:val="20"/>
          <w:szCs w:val="20"/>
        </w:rPr>
      </w:pPr>
      <w:r>
        <w:rPr>
          <w:sz w:val="20"/>
          <w:szCs w:val="20"/>
        </w:rPr>
        <w:t xml:space="preserve">We currently file Annual Reports </w:t>
      </w:r>
      <w:r>
        <w:rPr>
          <w:sz w:val="20"/>
          <w:szCs w:val="20"/>
        </w:rPr>
        <w:t xml:space="preserve">on Form 10-K, Quarterly Reports on Form 10-Q and current reports on Form 8-K with the SEC.  You may read and print copies of any materials that we file with the SEC on the SEC’s EDGAR database at </w:t>
      </w:r>
      <w:r>
        <w:rPr>
          <w:sz w:val="20"/>
          <w:szCs w:val="20"/>
          <w:u w:val="single"/>
        </w:rPr>
        <w:t>www.sec.gov</w:t>
      </w:r>
      <w:r>
        <w:rPr>
          <w:sz w:val="20"/>
          <w:szCs w:val="20"/>
        </w:rPr>
        <w:t>.</w:t>
      </w:r>
    </w:p>
    <w:p w:rsidR="00000000" w:rsidRDefault="00827839">
      <w:pPr>
        <w:pStyle w:val="a3"/>
        <w:spacing w:before="240" w:beforeAutospacing="0" w:after="0" w:afterAutospacing="0"/>
        <w:ind w:firstLine="556"/>
        <w:jc w:val="both"/>
        <w:rPr>
          <w:sz w:val="20"/>
          <w:szCs w:val="20"/>
        </w:rPr>
      </w:pPr>
      <w:r>
        <w:rPr>
          <w:sz w:val="20"/>
          <w:szCs w:val="20"/>
        </w:rPr>
        <w:t xml:space="preserve">Upon written request or through an information </w:t>
      </w:r>
      <w:r>
        <w:rPr>
          <w:sz w:val="20"/>
          <w:szCs w:val="20"/>
        </w:rPr>
        <w:t xml:space="preserve">request link from our website at </w:t>
      </w:r>
      <w:r>
        <w:rPr>
          <w:sz w:val="20"/>
          <w:szCs w:val="20"/>
          <w:u w:val="single"/>
        </w:rPr>
        <w:t>www.suburbanpropane.com</w:t>
      </w:r>
      <w:r>
        <w:rPr>
          <w:sz w:val="20"/>
          <w:szCs w:val="20"/>
        </w:rPr>
        <w:t>, we will provide, without charge, copies of our Annual Report on Form 10-K for the year ended September 28, 2019, each of the Quarterly Reports on Form 10-Q, current reports filed or furnished on For</w:t>
      </w:r>
      <w:r>
        <w:rPr>
          <w:sz w:val="20"/>
          <w:szCs w:val="20"/>
        </w:rPr>
        <w:t>m 8-K and all amendments to such reports as soon as is reasonably practicable after such reports are electronically filed with or furnished to the SEC.  Requests should be directed to:  Suburban Propane Partners, L.P., Investor Relations, P.O. Box 206, Whi</w:t>
      </w:r>
      <w:r>
        <w:rPr>
          <w:sz w:val="20"/>
          <w:szCs w:val="20"/>
        </w:rPr>
        <w:t>ppany, New Jersey 07981-0206.  The information contained on our website is not included as part of, or incorporated by reference into, this Annual Report on Form 10-K.</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w:t>
      </w:r>
    </w:p>
    <w:p w:rsidR="00000000" w:rsidRDefault="00827839">
      <w:pPr>
        <w:rPr>
          <w:rFonts w:eastAsia="Times New Roman"/>
        </w:rPr>
      </w:pPr>
      <w:r>
        <w:rPr>
          <w:rFonts w:eastAsia="Times New Roman"/>
        </w:rPr>
        <w:pict>
          <v:rect id="_x0000_i102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sz w:val="20"/>
          <w:szCs w:val="20"/>
        </w:rPr>
      </w:pPr>
      <w:r>
        <w:rPr>
          <w:b/>
          <w:bCs/>
          <w:sz w:val="20"/>
          <w:szCs w:val="20"/>
        </w:rPr>
        <w:t>Our Strategy</w:t>
      </w:r>
    </w:p>
    <w:p w:rsidR="00000000" w:rsidRDefault="00827839">
      <w:pPr>
        <w:pStyle w:val="a3"/>
        <w:spacing w:before="120" w:beforeAutospacing="0" w:after="0" w:afterAutospacing="0"/>
        <w:ind w:firstLine="556"/>
        <w:jc w:val="both"/>
        <w:rPr>
          <w:sz w:val="20"/>
          <w:szCs w:val="20"/>
        </w:rPr>
      </w:pPr>
      <w:r>
        <w:rPr>
          <w:sz w:val="20"/>
          <w:szCs w:val="20"/>
        </w:rPr>
        <w:t>Our business strategy is to deliver increasing value to our Unitholders through initiatives, both internal and external, that are geared toward achieving sustainable profitable growth. The following are key elements of our strategy:</w:t>
      </w:r>
    </w:p>
    <w:p w:rsidR="00000000" w:rsidRDefault="00827839">
      <w:pPr>
        <w:pStyle w:val="a3"/>
        <w:spacing w:before="240" w:beforeAutospacing="0" w:after="0" w:afterAutospacing="0"/>
        <w:ind w:firstLine="556"/>
        <w:jc w:val="both"/>
        <w:rPr>
          <w:b/>
          <w:bCs/>
          <w:i/>
          <w:iCs/>
          <w:sz w:val="20"/>
          <w:szCs w:val="20"/>
        </w:rPr>
      </w:pPr>
      <w:r>
        <w:rPr>
          <w:b/>
          <w:bCs/>
          <w:i/>
          <w:iCs/>
          <w:sz w:val="20"/>
          <w:szCs w:val="20"/>
        </w:rPr>
        <w:t>Internal Focus on Drivi</w:t>
      </w:r>
      <w:r>
        <w:rPr>
          <w:b/>
          <w:bCs/>
          <w:i/>
          <w:iCs/>
          <w:sz w:val="20"/>
          <w:szCs w:val="20"/>
        </w:rPr>
        <w:t>ng Operating Efficiencies, Right-Sizing Our Cost Structure and Enhancing Our Customer Mix.</w:t>
      </w:r>
      <w:r>
        <w:rPr>
          <w:sz w:val="20"/>
          <w:szCs w:val="20"/>
        </w:rPr>
        <w:t>  We focus internally on improving the efficiency of our existing operations, managing our cost structure and improving our customer mix. Through investments in our t</w:t>
      </w:r>
      <w:r>
        <w:rPr>
          <w:sz w:val="20"/>
          <w:szCs w:val="20"/>
        </w:rPr>
        <w:t>echnology infrastructure, we continue to seek to improve operating efficiencies and the return on assets employed.  We have developed a streamlined operating footprint and management structure to facilitate effective resource planning and decision making. </w:t>
      </w:r>
      <w:r>
        <w:rPr>
          <w:sz w:val="20"/>
          <w:szCs w:val="20"/>
        </w:rPr>
        <w:t xml:space="preserve"> Our internal efforts are particularly focused in the areas of route optimization, forecasting customer usage, inventory control, cash management and customer tracking. We will continue to pursue operational efficiencies while staying focused on providing </w:t>
      </w:r>
      <w:r>
        <w:rPr>
          <w:sz w:val="20"/>
          <w:szCs w:val="20"/>
        </w:rPr>
        <w:t xml:space="preserve">exceptional service to our customer base.  Our systems platform is advanced and scalable and </w:t>
      </w:r>
      <w:r>
        <w:rPr>
          <w:sz w:val="20"/>
          <w:szCs w:val="20"/>
        </w:rPr>
        <w:lastRenderedPageBreak/>
        <w:t>we will seek to leverage that technology for enhanced routing, forecasting and customer relationship management.</w:t>
      </w:r>
    </w:p>
    <w:p w:rsidR="00000000" w:rsidRDefault="00827839">
      <w:pPr>
        <w:pStyle w:val="a3"/>
        <w:spacing w:before="240" w:beforeAutospacing="0" w:after="0" w:afterAutospacing="0"/>
        <w:ind w:firstLine="556"/>
        <w:jc w:val="both"/>
        <w:rPr>
          <w:b/>
          <w:bCs/>
          <w:i/>
          <w:iCs/>
          <w:sz w:val="20"/>
          <w:szCs w:val="20"/>
        </w:rPr>
      </w:pPr>
      <w:r>
        <w:rPr>
          <w:b/>
          <w:bCs/>
          <w:i/>
          <w:iCs/>
          <w:sz w:val="20"/>
          <w:szCs w:val="20"/>
        </w:rPr>
        <w:t>Growing Our Customer Base by Improving Customer Re</w:t>
      </w:r>
      <w:r>
        <w:rPr>
          <w:b/>
          <w:bCs/>
          <w:i/>
          <w:iCs/>
          <w:sz w:val="20"/>
          <w:szCs w:val="20"/>
        </w:rPr>
        <w:t>tention and Acquiring New Customers.</w:t>
      </w:r>
      <w:r>
        <w:rPr>
          <w:sz w:val="20"/>
          <w:szCs w:val="20"/>
        </w:rPr>
        <w:t>  We set clear objectives to focus our employees on seeking new customers and retaining existing customers by providing highly responsive customer service.  We believe that customer satisfaction is a critical factor in t</w:t>
      </w:r>
      <w:r>
        <w:rPr>
          <w:sz w:val="20"/>
          <w:szCs w:val="20"/>
        </w:rPr>
        <w:t xml:space="preserve">he growth and success of our operations. </w:t>
      </w:r>
      <w:r>
        <w:rPr>
          <w:b/>
          <w:bCs/>
          <w:i/>
          <w:iCs/>
          <w:sz w:val="20"/>
          <w:szCs w:val="20"/>
        </w:rPr>
        <w:t>“Our Business is Customer Satisfaction”</w:t>
      </w:r>
      <w:r>
        <w:rPr>
          <w:sz w:val="20"/>
          <w:szCs w:val="20"/>
        </w:rPr>
        <w:t xml:space="preserve"> is one of our core operating philosophies.  We measure and reward our customer service centers based on a combination of profitability of the individual customer service cente</w:t>
      </w:r>
      <w:r>
        <w:rPr>
          <w:sz w:val="20"/>
          <w:szCs w:val="20"/>
        </w:rPr>
        <w:t>r and net customer growth. We have made investments in training our people both on techniques to provide exceptional customer service to our existing customer base, as well as advanced sales training focused on growing our customer base.</w:t>
      </w:r>
    </w:p>
    <w:p w:rsidR="00000000" w:rsidRDefault="00827839">
      <w:pPr>
        <w:pStyle w:val="a3"/>
        <w:spacing w:before="240" w:beforeAutospacing="0" w:after="0" w:afterAutospacing="0"/>
        <w:ind w:firstLine="556"/>
        <w:jc w:val="both"/>
        <w:rPr>
          <w:b/>
          <w:bCs/>
          <w:i/>
          <w:iCs/>
          <w:sz w:val="20"/>
          <w:szCs w:val="20"/>
        </w:rPr>
      </w:pPr>
      <w:r>
        <w:rPr>
          <w:b/>
          <w:bCs/>
          <w:i/>
          <w:iCs/>
          <w:sz w:val="20"/>
          <w:szCs w:val="20"/>
        </w:rPr>
        <w:t>Selective Acquisit</w:t>
      </w:r>
      <w:r>
        <w:rPr>
          <w:b/>
          <w:bCs/>
          <w:i/>
          <w:iCs/>
          <w:sz w:val="20"/>
          <w:szCs w:val="20"/>
        </w:rPr>
        <w:t>ions of Complementary Businesses or Assets.</w:t>
      </w:r>
      <w:r>
        <w:rPr>
          <w:sz w:val="20"/>
          <w:szCs w:val="20"/>
        </w:rPr>
        <w:t>  Externally, we seek to extend our presence or diversify our product offerings through selective acquisitions.  Our acquisition strategy is to focus on businesses with a relatively steady cash flow that will exte</w:t>
      </w:r>
      <w:r>
        <w:rPr>
          <w:sz w:val="20"/>
          <w:szCs w:val="20"/>
        </w:rPr>
        <w:t>nd our presence in strategically attractive markets, complement our existing business segments or provide an opportunity to diversify our operations.  We are very patient and deliberate in evaluating acquisition candidates.  </w:t>
      </w:r>
    </w:p>
    <w:p w:rsidR="00000000" w:rsidRDefault="00827839">
      <w:pPr>
        <w:pStyle w:val="a3"/>
        <w:spacing w:before="240" w:beforeAutospacing="0" w:after="0" w:afterAutospacing="0"/>
        <w:ind w:firstLine="556"/>
        <w:jc w:val="both"/>
        <w:rPr>
          <w:b/>
          <w:bCs/>
          <w:i/>
          <w:iCs/>
          <w:sz w:val="20"/>
          <w:szCs w:val="20"/>
        </w:rPr>
      </w:pPr>
      <w:r>
        <w:rPr>
          <w:b/>
          <w:bCs/>
          <w:i/>
          <w:iCs/>
          <w:sz w:val="20"/>
          <w:szCs w:val="20"/>
        </w:rPr>
        <w:t>Selective Disposition of Non-S</w:t>
      </w:r>
      <w:r>
        <w:rPr>
          <w:b/>
          <w:bCs/>
          <w:i/>
          <w:iCs/>
          <w:sz w:val="20"/>
          <w:szCs w:val="20"/>
        </w:rPr>
        <w:t>trategic Assets.</w:t>
      </w:r>
      <w:r>
        <w:rPr>
          <w:sz w:val="20"/>
          <w:szCs w:val="20"/>
        </w:rPr>
        <w:t xml:space="preserve">  We continuously evaluate our existing facilities to identify opportunities to optimize our return on assets by selectively divesting operations in slower growing markets, generating proceeds that can be reinvested in markets that present </w:t>
      </w:r>
      <w:r>
        <w:rPr>
          <w:sz w:val="20"/>
          <w:szCs w:val="20"/>
        </w:rPr>
        <w:t>greater opportunities for growth.  Our objective is to maximize the growth and profit potential of all of our assets.</w:t>
      </w:r>
    </w:p>
    <w:p w:rsidR="00000000" w:rsidRDefault="00827839">
      <w:pPr>
        <w:pStyle w:val="a3"/>
        <w:spacing w:before="360" w:beforeAutospacing="0" w:after="0" w:afterAutospacing="0"/>
        <w:jc w:val="both"/>
        <w:rPr>
          <w:b/>
          <w:bCs/>
          <w:sz w:val="20"/>
          <w:szCs w:val="20"/>
        </w:rPr>
      </w:pPr>
      <w:r>
        <w:rPr>
          <w:b/>
          <w:bCs/>
          <w:sz w:val="20"/>
          <w:szCs w:val="20"/>
        </w:rPr>
        <w:t>Business Segments</w:t>
      </w:r>
    </w:p>
    <w:p w:rsidR="00000000" w:rsidRDefault="00827839">
      <w:pPr>
        <w:pStyle w:val="a3"/>
        <w:spacing w:before="120" w:beforeAutospacing="0" w:after="0" w:afterAutospacing="0"/>
        <w:ind w:firstLine="556"/>
        <w:jc w:val="both"/>
        <w:rPr>
          <w:sz w:val="20"/>
          <w:szCs w:val="20"/>
        </w:rPr>
      </w:pPr>
      <w:r>
        <w:rPr>
          <w:sz w:val="20"/>
          <w:szCs w:val="20"/>
        </w:rPr>
        <w:t>As described below, we manage and evaluate our operations in four operating segments, three of which are reportable segm</w:t>
      </w:r>
      <w:r>
        <w:rPr>
          <w:sz w:val="20"/>
          <w:szCs w:val="20"/>
        </w:rPr>
        <w:t>ents: Propane, Fuel Oil and Refined Fuels and Natural Gas and Electricity.  See the Notes to the Consolidated Financial Statements included in this Annual Report for financial information about our business segments.</w:t>
      </w:r>
    </w:p>
    <w:p w:rsidR="00000000" w:rsidRDefault="00827839">
      <w:pPr>
        <w:pStyle w:val="a3"/>
        <w:spacing w:before="360" w:beforeAutospacing="0" w:after="0" w:afterAutospacing="0"/>
        <w:jc w:val="center"/>
        <w:rPr>
          <w:b/>
          <w:bCs/>
          <w:i/>
          <w:iCs/>
          <w:sz w:val="20"/>
          <w:szCs w:val="20"/>
        </w:rPr>
      </w:pPr>
      <w:r>
        <w:rPr>
          <w:b/>
          <w:bCs/>
          <w:i/>
          <w:iCs/>
          <w:sz w:val="20"/>
          <w:szCs w:val="20"/>
        </w:rPr>
        <w:t>Propane</w:t>
      </w:r>
    </w:p>
    <w:p w:rsidR="00000000" w:rsidRDefault="00827839">
      <w:pPr>
        <w:pStyle w:val="a3"/>
        <w:spacing w:before="240" w:beforeAutospacing="0" w:after="0" w:afterAutospacing="0"/>
        <w:ind w:firstLine="556"/>
        <w:jc w:val="both"/>
        <w:rPr>
          <w:sz w:val="20"/>
          <w:szCs w:val="20"/>
        </w:rPr>
      </w:pPr>
      <w:r>
        <w:rPr>
          <w:sz w:val="20"/>
          <w:szCs w:val="20"/>
        </w:rPr>
        <w:t>Propane is a by</w:t>
      </w:r>
      <w:r>
        <w:rPr>
          <w:sz w:val="20"/>
          <w:szCs w:val="20"/>
        </w:rPr>
        <w:noBreakHyphen/>
        <w:t>product of natu</w:t>
      </w:r>
      <w:r>
        <w:rPr>
          <w:sz w:val="20"/>
          <w:szCs w:val="20"/>
        </w:rPr>
        <w:t>ral gas processing and petroleum refining.  It is a clean burning energy source recognized for its transportability and ease of use relative to alternative forms of stand</w:t>
      </w:r>
      <w:r>
        <w:rPr>
          <w:sz w:val="20"/>
          <w:szCs w:val="20"/>
        </w:rPr>
        <w:noBreakHyphen/>
        <w:t>alone energy sources.  Propane use falls into three broad categories: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053427731"/>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residential</w:t>
            </w:r>
            <w:r>
              <w:rPr>
                <w:sz w:val="20"/>
                <w:szCs w:val="20"/>
              </w:rPr>
              <w:t xml:space="preserve"> and commercial applications;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industrial applications; and</w:t>
            </w:r>
          </w:p>
        </w:tc>
      </w:tr>
    </w:tbl>
    <w:p w:rsidR="00000000" w:rsidRDefault="00827839">
      <w:pPr>
        <w:divId w:val="145451850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454518505"/>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agricultural uses.</w:t>
            </w:r>
          </w:p>
        </w:tc>
      </w:tr>
    </w:tbl>
    <w:p w:rsidR="00000000" w:rsidRDefault="00827839">
      <w:pPr>
        <w:pStyle w:val="a3"/>
        <w:spacing w:before="240" w:beforeAutospacing="0" w:after="0" w:afterAutospacing="0"/>
        <w:ind w:firstLine="556"/>
        <w:jc w:val="both"/>
        <w:rPr>
          <w:sz w:val="20"/>
          <w:szCs w:val="20"/>
        </w:rPr>
      </w:pPr>
      <w:r>
        <w:rPr>
          <w:sz w:val="20"/>
          <w:szCs w:val="20"/>
        </w:rPr>
        <w:t>In the residential and commercial markets, propane is used primarily for space heating, water heating, clothes drying and cooking.  Industrial customers use propane generally as a motor fuel to power over</w:t>
      </w:r>
      <w:r>
        <w:rPr>
          <w:sz w:val="20"/>
          <w:szCs w:val="20"/>
        </w:rPr>
        <w:noBreakHyphen/>
        <w:t>the</w:t>
      </w:r>
      <w:r>
        <w:rPr>
          <w:sz w:val="20"/>
          <w:szCs w:val="20"/>
        </w:rPr>
        <w:noBreakHyphen/>
        <w:t>road vehicles, forklifts and stationary engines</w:t>
      </w:r>
      <w:r>
        <w:rPr>
          <w:sz w:val="20"/>
          <w:szCs w:val="20"/>
        </w:rPr>
        <w:t>, to fire furnaces, as a cutting gas and in other process applications.  In the agricultural market, propane is primarily used for tobacco curing, crop drying, poultry brooding and weed control.</w:t>
      </w:r>
    </w:p>
    <w:p w:rsidR="00000000" w:rsidRDefault="00827839">
      <w:pPr>
        <w:pStyle w:val="a3"/>
        <w:spacing w:before="240" w:beforeAutospacing="0" w:after="0" w:afterAutospacing="0"/>
        <w:ind w:firstLine="556"/>
        <w:jc w:val="both"/>
        <w:rPr>
          <w:sz w:val="20"/>
          <w:szCs w:val="20"/>
        </w:rPr>
      </w:pPr>
      <w:r>
        <w:rPr>
          <w:sz w:val="20"/>
          <w:szCs w:val="20"/>
        </w:rPr>
        <w:t xml:space="preserve">Propane is extracted from natural gas or oil wellhead gas at </w:t>
      </w:r>
      <w:r>
        <w:rPr>
          <w:sz w:val="20"/>
          <w:szCs w:val="20"/>
        </w:rPr>
        <w:t>processing plants or separated from crude oil during the refining process.  It is normally transported and stored in a liquid state under moderate pressure or refrigeration for ease of handling in shipping and distribution.  When the pressure is released o</w:t>
      </w:r>
      <w:r>
        <w:rPr>
          <w:sz w:val="20"/>
          <w:szCs w:val="20"/>
        </w:rPr>
        <w:t>r the temperature is increased, propane becomes a flammable gas that is colorless and odorless, although an odorant is added to allow its detection.  Propane is clean burning and, when consumed, produces only negligible amounts of pollutants.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w:t>
      </w:r>
    </w:p>
    <w:p w:rsidR="00000000" w:rsidRDefault="00827839">
      <w:pPr>
        <w:rPr>
          <w:rFonts w:eastAsia="Times New Roman"/>
        </w:rPr>
      </w:pPr>
      <w:r>
        <w:rPr>
          <w:rFonts w:eastAsia="Times New Roman"/>
        </w:rPr>
        <w:pict>
          <v:rect id="_x0000_i102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i/>
          <w:iCs/>
          <w:sz w:val="20"/>
          <w:szCs w:val="20"/>
        </w:rPr>
      </w:pPr>
      <w:r>
        <w:rPr>
          <w:i/>
          <w:iCs/>
          <w:sz w:val="20"/>
          <w:szCs w:val="20"/>
        </w:rPr>
        <w:t>Product Distribution and Marketing</w:t>
      </w:r>
    </w:p>
    <w:p w:rsidR="00000000" w:rsidRDefault="00827839">
      <w:pPr>
        <w:pStyle w:val="a3"/>
        <w:spacing w:before="120" w:beforeAutospacing="0" w:after="0" w:afterAutospacing="0"/>
        <w:ind w:firstLine="556"/>
        <w:jc w:val="both"/>
        <w:rPr>
          <w:sz w:val="20"/>
          <w:szCs w:val="20"/>
        </w:rPr>
      </w:pPr>
      <w:r>
        <w:rPr>
          <w:sz w:val="20"/>
          <w:szCs w:val="20"/>
        </w:rPr>
        <w:t>We distribute propane through a nationwide retail distribution network consisting of approximately 700 locations in 41 states as of September 28, 2019.  Our operations are principally concentrated in the east and west coast regions of the United States, as</w:t>
      </w:r>
      <w:r>
        <w:rPr>
          <w:sz w:val="20"/>
          <w:szCs w:val="20"/>
        </w:rPr>
        <w:t xml:space="preserve"> well as portions of the midwest region of the United States and Alaska.  As of September 28, 2019, we serviced approximately 858,000 propane customers.  Typically, our customer service centers are located in suburban and rural areas where natural gas is n</w:t>
      </w:r>
      <w:r>
        <w:rPr>
          <w:sz w:val="20"/>
          <w:szCs w:val="20"/>
        </w:rPr>
        <w:t>ot readily available. Generally, these customer service centers consist of an office, appliance showroom, warehouse and service facilities, with one or more 18,000 to 30,000 gallon storage tanks on the premises.  Approximately 60% of our residential custom</w:t>
      </w:r>
      <w:r>
        <w:rPr>
          <w:sz w:val="20"/>
          <w:szCs w:val="20"/>
        </w:rPr>
        <w:t xml:space="preserve">ers receive their propane supply through an automatic delivery system.  These deliveries are scheduled through proprietary computer technology, based upon each customer’s historical consumption patterns and prevailing weather conditions.  Additionally, we </w:t>
      </w:r>
      <w:r>
        <w:rPr>
          <w:sz w:val="20"/>
          <w:szCs w:val="20"/>
        </w:rPr>
        <w:t>offer our customers a budget payment plan whereby the customer’s estimated annual propane purchases and service contracts are paid for in a series of estimated equal monthly payments over a twelve-month period.  From our customer service centers, we also s</w:t>
      </w:r>
      <w:r>
        <w:rPr>
          <w:sz w:val="20"/>
          <w:szCs w:val="20"/>
        </w:rPr>
        <w:t>ell, install and service equipment to customers who purchase propane from us including heating and cooking appliances and, at some locations, propane fuel systems for motor vehicles.</w:t>
      </w:r>
    </w:p>
    <w:p w:rsidR="00000000" w:rsidRDefault="00827839">
      <w:pPr>
        <w:pStyle w:val="a3"/>
        <w:spacing w:before="240" w:beforeAutospacing="0" w:after="0" w:afterAutospacing="0"/>
        <w:ind w:firstLine="556"/>
        <w:jc w:val="both"/>
        <w:rPr>
          <w:sz w:val="20"/>
          <w:szCs w:val="20"/>
        </w:rPr>
      </w:pPr>
      <w:r>
        <w:rPr>
          <w:sz w:val="20"/>
          <w:szCs w:val="20"/>
        </w:rPr>
        <w:t>We sell propane primarily to seven customer markets: residential, commerc</w:t>
      </w:r>
      <w:r>
        <w:rPr>
          <w:sz w:val="20"/>
          <w:szCs w:val="20"/>
        </w:rPr>
        <w:t>ial, industrial (including engine fuel), government, agricultural, other retail users and wholesale.  Approximately 98% of the propane gallons sold by us in fiscal 2019 were to retail customers: 44% to residential customers, 35% to commercial customers, 9%</w:t>
      </w:r>
      <w:r>
        <w:rPr>
          <w:sz w:val="20"/>
          <w:szCs w:val="20"/>
        </w:rPr>
        <w:t xml:space="preserve"> to industrial customers, 5% to government customers, 4% to agricultural customers and 3% to other retail users.  The balance of approximately 2% of the propane gallons sold by us in fiscal 2019 was for risk management activities and wholesale customers.  </w:t>
      </w:r>
      <w:r>
        <w:rPr>
          <w:sz w:val="20"/>
          <w:szCs w:val="20"/>
        </w:rPr>
        <w:t>No single customer accounted for 10% or more of our propane revenues during fiscal 2019.</w:t>
      </w:r>
    </w:p>
    <w:p w:rsidR="00000000" w:rsidRDefault="00827839">
      <w:pPr>
        <w:pStyle w:val="a3"/>
        <w:spacing w:before="240" w:beforeAutospacing="0" w:after="0" w:afterAutospacing="0"/>
        <w:ind w:firstLine="556"/>
        <w:jc w:val="both"/>
        <w:rPr>
          <w:sz w:val="20"/>
          <w:szCs w:val="20"/>
        </w:rPr>
      </w:pPr>
      <w:r>
        <w:rPr>
          <w:sz w:val="20"/>
          <w:szCs w:val="20"/>
        </w:rPr>
        <w:t>Retail deliveries of propane are usually made to customers by means of bobtail and rack trucks.  Propane is pumped from bobtail trucks, which have capacities typically</w:t>
      </w:r>
      <w:r>
        <w:rPr>
          <w:sz w:val="20"/>
          <w:szCs w:val="20"/>
        </w:rPr>
        <w:t xml:space="preserve"> ranging from 2,400 gallons to 3,500 gallons of propane, into a stationary storage tank on the customers’ premises.  The capacity of these storage tanks ranges from approximately 100 gallons to approximately 1,200 gallons, with a typical tank having a capa</w:t>
      </w:r>
      <w:r>
        <w:rPr>
          <w:sz w:val="20"/>
          <w:szCs w:val="20"/>
        </w:rPr>
        <w:t xml:space="preserve">city of 300 to 400 gallons.  As is common in the propane industry, we own a significant portion of the storage tanks located on our customers’ premises.  We also deliver propane to retail customers in portable cylinders, which typically have a capacity of </w:t>
      </w:r>
      <w:r>
        <w:rPr>
          <w:sz w:val="20"/>
          <w:szCs w:val="20"/>
        </w:rPr>
        <w:t>5 to 35 gallons.  When these cylinders are delivered to customers, empty cylinders are refilled in place or transported for replenishment at our distribution locations.  We also deliver propane to certain other bulk end users in larger trucks known as tran</w:t>
      </w:r>
      <w:r>
        <w:rPr>
          <w:sz w:val="20"/>
          <w:szCs w:val="20"/>
        </w:rPr>
        <w:t>sports, which have an average capacity of approximately 9,000 gallons.  End users receiving transport deliveries include industrial customers, large</w:t>
      </w:r>
      <w:r>
        <w:rPr>
          <w:sz w:val="20"/>
          <w:szCs w:val="20"/>
        </w:rPr>
        <w:noBreakHyphen/>
        <w:t>scale heating accounts, such as local gas utilities that use propane as a supplemental fuel to meet peak lo</w:t>
      </w:r>
      <w:r>
        <w:rPr>
          <w:sz w:val="20"/>
          <w:szCs w:val="20"/>
        </w:rPr>
        <w:t>ad delivery requirements, and large agricultural accounts that use propane for crop drying.</w:t>
      </w:r>
    </w:p>
    <w:p w:rsidR="00000000" w:rsidRDefault="00827839">
      <w:pPr>
        <w:pStyle w:val="a3"/>
        <w:spacing w:before="360" w:beforeAutospacing="0" w:after="0" w:afterAutospacing="0"/>
        <w:jc w:val="both"/>
        <w:rPr>
          <w:i/>
          <w:iCs/>
          <w:sz w:val="20"/>
          <w:szCs w:val="20"/>
        </w:rPr>
      </w:pPr>
      <w:r>
        <w:rPr>
          <w:i/>
          <w:iCs/>
          <w:sz w:val="20"/>
          <w:szCs w:val="20"/>
        </w:rPr>
        <w:t>Supply</w:t>
      </w:r>
    </w:p>
    <w:p w:rsidR="00000000" w:rsidRDefault="00827839">
      <w:pPr>
        <w:pStyle w:val="a3"/>
        <w:spacing w:before="120" w:beforeAutospacing="0" w:after="0" w:afterAutospacing="0"/>
        <w:ind w:firstLine="556"/>
        <w:jc w:val="both"/>
        <w:rPr>
          <w:sz w:val="20"/>
          <w:szCs w:val="20"/>
        </w:rPr>
      </w:pPr>
      <w:r>
        <w:rPr>
          <w:sz w:val="20"/>
          <w:szCs w:val="20"/>
        </w:rPr>
        <w:t>Our propane supply is purchased from approximately 50 oil companies and natural gas processors at approximately 155 supply points located in the United State</w:t>
      </w:r>
      <w:r>
        <w:rPr>
          <w:sz w:val="20"/>
          <w:szCs w:val="20"/>
        </w:rPr>
        <w:t xml:space="preserve">s and Canada.  We make purchases primarily under one-year agreements that are subject to annual renewal, and also purchase propane on the spot market.  Supply contracts generally provide for pricing in accordance with posted prices at the time of delivery </w:t>
      </w:r>
      <w:r>
        <w:rPr>
          <w:sz w:val="20"/>
          <w:szCs w:val="20"/>
        </w:rPr>
        <w:t>or the current prices established at major storage points, and some contracts include a pricing formula that typically is based on prevailing market prices.  Some of these agreements provide maximum and minimum seasonal purchase guidelines. Propane is gene</w:t>
      </w:r>
      <w:r>
        <w:rPr>
          <w:sz w:val="20"/>
          <w:szCs w:val="20"/>
        </w:rPr>
        <w:t>rally transported from refineries, pipeline terminals, storage facilities (including our storage facility in Elk Grove, California) and coastal terminals to our customer service centers by a combination of common carriers, owner</w:t>
      </w:r>
      <w:r>
        <w:rPr>
          <w:sz w:val="20"/>
          <w:szCs w:val="20"/>
        </w:rPr>
        <w:noBreakHyphen/>
        <w:t>operators and railroad tank</w:t>
      </w:r>
      <w:r>
        <w:rPr>
          <w:sz w:val="20"/>
          <w:szCs w:val="20"/>
        </w:rPr>
        <w:t xml:space="preserve"> cars.  See Item 2 of this Annual Report.</w:t>
      </w:r>
    </w:p>
    <w:p w:rsidR="00000000" w:rsidRDefault="00827839">
      <w:pPr>
        <w:pStyle w:val="a3"/>
        <w:spacing w:before="240" w:beforeAutospacing="0" w:after="0" w:afterAutospacing="0"/>
        <w:ind w:firstLine="556"/>
        <w:jc w:val="both"/>
        <w:rPr>
          <w:sz w:val="20"/>
          <w:szCs w:val="20"/>
        </w:rPr>
      </w:pPr>
      <w:r>
        <w:rPr>
          <w:sz w:val="20"/>
          <w:szCs w:val="20"/>
        </w:rPr>
        <w:t>Historically, supplies of propane have been readily available from our supply sources. Although we make no assurance regarding the availability of supplies of propane in the future, we currently expect to be able t</w:t>
      </w:r>
      <w:r>
        <w:rPr>
          <w:sz w:val="20"/>
          <w:szCs w:val="20"/>
        </w:rPr>
        <w:t>o secure adequate supplies during fiscal 2020.  During fiscal 2019, Crestwood Equity Partners L.P. (“Crestwood”), Targa Liquids Marketing and Trade LLC (“Targa”), and Enterprise Products Partners L.P. (“Enterprise”) provided approximately 22%, 16%, and 11%</w:t>
      </w:r>
      <w:r>
        <w:rPr>
          <w:sz w:val="20"/>
          <w:szCs w:val="20"/>
        </w:rPr>
        <w:t xml:space="preserve"> of our total propane purchases, respectively.  No other single supplier accounted for 10% or more of our propane purchases in fiscal 2019.  The availability of our propane supply is dependent on several factors, including the severity of winter weather, t</w:t>
      </w:r>
      <w:r>
        <w:rPr>
          <w:sz w:val="20"/>
          <w:szCs w:val="20"/>
        </w:rPr>
        <w:t>he magnitude of competing demands for available supply (e.g., crop drying and exports), the availability of transportation and storage infrastructure and the price and availability of competing fuels, such as natural gas and fuel oil.  We believe that if s</w:t>
      </w:r>
      <w:r>
        <w:rPr>
          <w:sz w:val="20"/>
          <w:szCs w:val="20"/>
        </w:rPr>
        <w:t>upplies from Crestwood, Targa, or Enterprise were interrupted, we would be able to secure adequate propane supplies from other sources without a material disruption of our operations.  Nevertheless, the cost of acquiring and transporting such propane might</w:t>
      </w:r>
      <w:r>
        <w:rPr>
          <w:sz w:val="20"/>
          <w:szCs w:val="20"/>
        </w:rPr>
        <w:t xml:space="preserve"> be higher and, at least on a short-term basis, our margins could be affected.  Approximately 85% of our total propane purchases were from domestic suppliers in fiscal 2019.</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w:t>
      </w:r>
    </w:p>
    <w:p w:rsidR="00000000" w:rsidRDefault="00827839">
      <w:pPr>
        <w:rPr>
          <w:rFonts w:eastAsia="Times New Roman"/>
        </w:rPr>
      </w:pPr>
      <w:r>
        <w:rPr>
          <w:rFonts w:eastAsia="Times New Roman"/>
        </w:rPr>
        <w:pict>
          <v:rect id="_x0000_i103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w:t>
        </w:r>
        <w:r>
          <w:rPr>
            <w:rStyle w:val="a4"/>
            <w:sz w:val="18"/>
            <w:szCs w:val="18"/>
          </w:rPr>
          <w:t>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 xml:space="preserve">We seek to reduce the effect of propane price volatility on our product costs and to help ensure the availability of propane during periods of short supply.  We enter into propane forward options and swap agreements with third parties to </w:t>
      </w:r>
      <w:r>
        <w:rPr>
          <w:sz w:val="20"/>
          <w:szCs w:val="20"/>
        </w:rPr>
        <w:t>purchase and sell propane at fixed prices in the future.  These activities are monitored by our senior management through enforcement of our Hedging and Risk Management Policy.  See Items 7 and 7A of this Annual Report.</w:t>
      </w:r>
    </w:p>
    <w:p w:rsidR="00000000" w:rsidRDefault="00827839">
      <w:pPr>
        <w:pStyle w:val="a3"/>
        <w:spacing w:before="240" w:beforeAutospacing="0" w:after="0" w:afterAutospacing="0"/>
        <w:ind w:firstLine="556"/>
        <w:jc w:val="both"/>
        <w:rPr>
          <w:sz w:val="20"/>
          <w:szCs w:val="20"/>
        </w:rPr>
      </w:pPr>
      <w:r>
        <w:rPr>
          <w:sz w:val="20"/>
          <w:szCs w:val="20"/>
        </w:rPr>
        <w:t>We own and operate a large propane s</w:t>
      </w:r>
      <w:r>
        <w:rPr>
          <w:sz w:val="20"/>
          <w:szCs w:val="20"/>
        </w:rPr>
        <w:t>torage facility in Elk Grove, California.  We also operate smaller storage facilities in other locations and have rights to use storage facilities in additional locations. These storage facilities enable us to buy and store large quantities of propane part</w:t>
      </w:r>
      <w:r>
        <w:rPr>
          <w:sz w:val="20"/>
          <w:szCs w:val="20"/>
        </w:rPr>
        <w:t>icularly during periods of low demand, which generally occur during the summer months.  This practice helps ensure a more secure supply of propane during periods of intense demand or price instability.  As of September 28, 2019, the majority of the storage</w:t>
      </w:r>
      <w:r>
        <w:rPr>
          <w:sz w:val="20"/>
          <w:szCs w:val="20"/>
        </w:rPr>
        <w:t xml:space="preserve"> capacity at our facility in Elk Grove, California was leased to third parties.</w:t>
      </w:r>
    </w:p>
    <w:p w:rsidR="00000000" w:rsidRDefault="00827839">
      <w:pPr>
        <w:pStyle w:val="a3"/>
        <w:spacing w:before="360" w:beforeAutospacing="0" w:after="0" w:afterAutospacing="0"/>
        <w:jc w:val="both"/>
        <w:rPr>
          <w:i/>
          <w:iCs/>
          <w:sz w:val="20"/>
          <w:szCs w:val="20"/>
        </w:rPr>
      </w:pPr>
      <w:r>
        <w:rPr>
          <w:i/>
          <w:iCs/>
          <w:sz w:val="20"/>
          <w:szCs w:val="20"/>
        </w:rPr>
        <w:t>Competition</w:t>
      </w:r>
    </w:p>
    <w:p w:rsidR="00000000" w:rsidRDefault="00827839">
      <w:pPr>
        <w:pStyle w:val="a3"/>
        <w:spacing w:before="120" w:beforeAutospacing="0" w:after="0" w:afterAutospacing="0"/>
        <w:ind w:firstLine="556"/>
        <w:jc w:val="both"/>
        <w:rPr>
          <w:sz w:val="20"/>
          <w:szCs w:val="20"/>
        </w:rPr>
      </w:pPr>
      <w:r>
        <w:rPr>
          <w:sz w:val="20"/>
          <w:szCs w:val="20"/>
        </w:rPr>
        <w:t>According to the US Census Bureau’s 2017 American Community Survey, propane ranks as the fourth most important source of residential energy in the nation, with abou</w:t>
      </w:r>
      <w:r>
        <w:rPr>
          <w:sz w:val="20"/>
          <w:szCs w:val="20"/>
        </w:rPr>
        <w:t xml:space="preserve">t 5% of all households using propane as their primary space heating fuel.  This level has not changed materially over the previous two decades.  As an energy source, propane competes primarily with natural gas, electricity and fuel oil, principally on the </w:t>
      </w:r>
      <w:r>
        <w:rPr>
          <w:sz w:val="20"/>
          <w:szCs w:val="20"/>
        </w:rPr>
        <w:t>basis of price, availability and portability.</w:t>
      </w:r>
    </w:p>
    <w:p w:rsidR="00000000" w:rsidRDefault="00827839">
      <w:pPr>
        <w:pStyle w:val="a3"/>
        <w:spacing w:before="240" w:beforeAutospacing="0" w:after="0" w:afterAutospacing="0"/>
        <w:ind w:firstLine="556"/>
        <w:jc w:val="both"/>
        <w:rPr>
          <w:sz w:val="20"/>
          <w:szCs w:val="20"/>
        </w:rPr>
      </w:pPr>
      <w:r>
        <w:rPr>
          <w:sz w:val="20"/>
          <w:szCs w:val="20"/>
        </w:rPr>
        <w:t>Propane is more expensive than natural gas on an equivalent British Thermal Unit (“BTU”) basis in locations serviced by natural gas, but it is an alternative or supplement to natural gas in rural and suburban a</w:t>
      </w:r>
      <w:r>
        <w:rPr>
          <w:sz w:val="20"/>
          <w:szCs w:val="20"/>
        </w:rPr>
        <w:t>reas where natural gas is unavailable or portability of product is required.  Historically, the expansion of natural gas into traditional propane markets has been inhibited by the capital costs required to expand pipeline and retail distribution systems, a</w:t>
      </w:r>
      <w:r>
        <w:rPr>
          <w:sz w:val="20"/>
          <w:szCs w:val="20"/>
        </w:rPr>
        <w:t>nd in some territories, geological and activist challenges. The increasing availability of natural gas extracted from shale deposits in the United States may accelerate the extension of natural gas pipelines in the future.  Although the extension of natura</w:t>
      </w:r>
      <w:r>
        <w:rPr>
          <w:sz w:val="20"/>
          <w:szCs w:val="20"/>
        </w:rPr>
        <w:t>l gas pipelines to previously unserved geographic areas tends to displace propane distribution in those areas, we believe new opportunities for propane sales may arise as new neighborhoods are developed in geographically remote areas.  </w:t>
      </w:r>
    </w:p>
    <w:p w:rsidR="00000000" w:rsidRDefault="00827839">
      <w:pPr>
        <w:pStyle w:val="a3"/>
        <w:spacing w:before="240" w:beforeAutospacing="0" w:after="0" w:afterAutospacing="0"/>
        <w:ind w:firstLine="556"/>
        <w:jc w:val="both"/>
        <w:rPr>
          <w:sz w:val="20"/>
          <w:szCs w:val="20"/>
        </w:rPr>
      </w:pPr>
      <w:r>
        <w:rPr>
          <w:sz w:val="20"/>
          <w:szCs w:val="20"/>
        </w:rPr>
        <w:t>Propane has some re</w:t>
      </w:r>
      <w:r>
        <w:rPr>
          <w:sz w:val="20"/>
          <w:szCs w:val="20"/>
        </w:rPr>
        <w:t>lative advantages over other energy sources.  For example, in certain geographic areas, propane is generally less expensive to use than electricity for space heating, water heating, clothes drying and cooking.  Utilization of fuel oil is geographically lim</w:t>
      </w:r>
      <w:r>
        <w:rPr>
          <w:sz w:val="20"/>
          <w:szCs w:val="20"/>
        </w:rPr>
        <w:t>ited (primarily in the northeast), and even in that region, propane and fuel oil are not significant competitors because of the cost of converting from one to the other.</w:t>
      </w:r>
    </w:p>
    <w:p w:rsidR="00000000" w:rsidRDefault="00827839">
      <w:pPr>
        <w:pStyle w:val="a3"/>
        <w:spacing w:before="240" w:beforeAutospacing="0" w:after="0" w:afterAutospacing="0"/>
        <w:ind w:firstLine="556"/>
        <w:jc w:val="both"/>
        <w:rPr>
          <w:sz w:val="20"/>
          <w:szCs w:val="20"/>
        </w:rPr>
      </w:pPr>
      <w:r>
        <w:rPr>
          <w:sz w:val="20"/>
          <w:szCs w:val="20"/>
        </w:rPr>
        <w:t>In addition to competing with suppliers of other energy sources, our propane operation</w:t>
      </w:r>
      <w:r>
        <w:rPr>
          <w:sz w:val="20"/>
          <w:szCs w:val="20"/>
        </w:rPr>
        <w:t>s compete with other retail propane distributors. The retail propane industry is highly fragmented and competition generally occurs on a local basis with other large full-service multi-state propane marketers, thousands of smaller local independent markete</w:t>
      </w:r>
      <w:r>
        <w:rPr>
          <w:sz w:val="20"/>
          <w:szCs w:val="20"/>
        </w:rPr>
        <w:t>rs and farm cooperatives. Based on industry statistics contained in the 2017</w:t>
      </w:r>
      <w:r>
        <w:rPr>
          <w:i/>
          <w:iCs/>
          <w:sz w:val="20"/>
          <w:szCs w:val="20"/>
        </w:rPr>
        <w:t xml:space="preserve"> Annual Retail Propane Sales Report</w:t>
      </w:r>
      <w:r>
        <w:rPr>
          <w:sz w:val="20"/>
          <w:szCs w:val="20"/>
        </w:rPr>
        <w:t xml:space="preserve">, as published by the Propane Education &amp; Research Council in February 2019, and </w:t>
      </w:r>
      <w:r>
        <w:rPr>
          <w:i/>
          <w:iCs/>
          <w:sz w:val="20"/>
          <w:szCs w:val="20"/>
        </w:rPr>
        <w:t>LP/Gas Magazine</w:t>
      </w:r>
      <w:r>
        <w:rPr>
          <w:sz w:val="20"/>
          <w:szCs w:val="20"/>
        </w:rPr>
        <w:t xml:space="preserve"> dated February 2018, the ten largest retailers, </w:t>
      </w:r>
      <w:r>
        <w:rPr>
          <w:sz w:val="20"/>
          <w:szCs w:val="20"/>
        </w:rPr>
        <w:t xml:space="preserve">including us, account for approximately 36% of the total retail sales of propane in the United States. Each of our customer service centers operates in its own competitive environment because retail marketers tend to locate in close proximity to customers </w:t>
      </w:r>
      <w:r>
        <w:rPr>
          <w:sz w:val="20"/>
          <w:szCs w:val="20"/>
        </w:rPr>
        <w:t>in order to lower the cost of providing service.  Our typical customer service center has an effective marketing radius of approximately 50 miles, although in certain areas the marketing radius may be extended by one or more satellite offices.  Most of our</w:t>
      </w:r>
      <w:r>
        <w:rPr>
          <w:sz w:val="20"/>
          <w:szCs w:val="20"/>
        </w:rPr>
        <w:t xml:space="preserve"> customer service centers compete with five or more marketers or distributors.</w:t>
      </w:r>
    </w:p>
    <w:p w:rsidR="00000000" w:rsidRDefault="00827839">
      <w:pPr>
        <w:pStyle w:val="a3"/>
        <w:spacing w:before="360" w:beforeAutospacing="0" w:after="0" w:afterAutospacing="0"/>
        <w:jc w:val="center"/>
        <w:rPr>
          <w:b/>
          <w:bCs/>
          <w:i/>
          <w:iCs/>
          <w:sz w:val="20"/>
          <w:szCs w:val="20"/>
        </w:rPr>
      </w:pPr>
      <w:r>
        <w:rPr>
          <w:b/>
          <w:bCs/>
          <w:i/>
          <w:iCs/>
          <w:sz w:val="20"/>
          <w:szCs w:val="20"/>
        </w:rPr>
        <w:t>Fuel Oil and Refined Fuels</w:t>
      </w:r>
    </w:p>
    <w:p w:rsidR="00000000" w:rsidRDefault="00827839">
      <w:pPr>
        <w:pStyle w:val="a3"/>
        <w:spacing w:before="240" w:beforeAutospacing="0" w:after="0" w:afterAutospacing="0"/>
        <w:jc w:val="both"/>
        <w:rPr>
          <w:i/>
          <w:iCs/>
          <w:sz w:val="20"/>
          <w:szCs w:val="20"/>
        </w:rPr>
      </w:pPr>
      <w:r>
        <w:rPr>
          <w:i/>
          <w:iCs/>
          <w:sz w:val="20"/>
          <w:szCs w:val="20"/>
        </w:rPr>
        <w:t>Product Distribution and Marketing</w:t>
      </w:r>
    </w:p>
    <w:p w:rsidR="00000000" w:rsidRDefault="00827839">
      <w:pPr>
        <w:pStyle w:val="a3"/>
        <w:spacing w:before="120" w:beforeAutospacing="0" w:after="0" w:afterAutospacing="0"/>
        <w:ind w:firstLine="556"/>
        <w:jc w:val="both"/>
        <w:rPr>
          <w:sz w:val="20"/>
          <w:szCs w:val="20"/>
        </w:rPr>
      </w:pPr>
      <w:r>
        <w:rPr>
          <w:sz w:val="20"/>
          <w:szCs w:val="20"/>
        </w:rPr>
        <w:t>We market and distribute fuel oil, kerosene, diesel fuel and gasoline to approximately 40,000 residential and commercial customers primarily in the northeast region of the United States.  Sales of fuel oil and refined fuels for fiscal 2019 amounted to 29.8</w:t>
      </w:r>
      <w:r>
        <w:rPr>
          <w:sz w:val="20"/>
          <w:szCs w:val="20"/>
        </w:rPr>
        <w:t xml:space="preserve"> million gallons. Approximately 68% of the fuel oil and refined fuels gallons sold by us in fiscal 2019 were to residential customers, principally for home heating, 7% were to commercial customers, and 7% to other users.  Sales of diesel and gasoline accou</w:t>
      </w:r>
      <w:r>
        <w:rPr>
          <w:sz w:val="20"/>
          <w:szCs w:val="20"/>
        </w:rPr>
        <w:t xml:space="preserve">nted for the remaining 18% of total volumes sold in this segment during fiscal 2019.  Fuel oil has a more limited use, compared to propane, and is used almost exclusively for space and water heating in residential and commercial buildings.  We sell diesel </w:t>
      </w:r>
      <w:r>
        <w:rPr>
          <w:sz w:val="20"/>
          <w:szCs w:val="20"/>
        </w:rPr>
        <w:t>fuel and gasoline to commercial and industrial customers for use primarily to operate motor vehicles.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w:t>
      </w:r>
    </w:p>
    <w:p w:rsidR="00000000" w:rsidRDefault="00827839">
      <w:pPr>
        <w:rPr>
          <w:rFonts w:eastAsia="Times New Roman"/>
        </w:rPr>
      </w:pPr>
      <w:r>
        <w:rPr>
          <w:rFonts w:eastAsia="Times New Roman"/>
        </w:rPr>
        <w:pict>
          <v:rect id="_x0000_i103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 xml:space="preserve">Approximately 45% </w:t>
      </w:r>
      <w:r>
        <w:rPr>
          <w:sz w:val="20"/>
          <w:szCs w:val="20"/>
        </w:rPr>
        <w:t>of our fuel oil customers receive their fuel oil under an automatic delivery system.  These deliveries are scheduled through proprietary computer technology, based upon each customer’s historical consumption patterns and prevailing weather conditions.  Add</w:t>
      </w:r>
      <w:r>
        <w:rPr>
          <w:sz w:val="20"/>
          <w:szCs w:val="20"/>
        </w:rPr>
        <w:t>itionally, we offer our customers a budget payment plan whereby the customer’s estimated annual fuel oil purchases are paid for in a series of estimated equal monthly payments over a twelve-month period.  From our customer service centers, we also sell, in</w:t>
      </w:r>
      <w:r>
        <w:rPr>
          <w:sz w:val="20"/>
          <w:szCs w:val="20"/>
        </w:rPr>
        <w:t>stall and service equipment to customers who purchase fuel oil from us including heating appliances.</w:t>
      </w:r>
    </w:p>
    <w:p w:rsidR="00000000" w:rsidRDefault="00827839">
      <w:pPr>
        <w:pStyle w:val="a3"/>
        <w:spacing w:before="240" w:beforeAutospacing="0" w:after="0" w:afterAutospacing="0"/>
        <w:ind w:firstLine="556"/>
        <w:jc w:val="both"/>
        <w:rPr>
          <w:sz w:val="20"/>
          <w:szCs w:val="20"/>
        </w:rPr>
      </w:pPr>
      <w:r>
        <w:rPr>
          <w:sz w:val="20"/>
          <w:szCs w:val="20"/>
        </w:rPr>
        <w:t>Deliveries of fuel oil are usually made to customers by means of tankwagon trucks, which have capacities ranging from 2,500 gallons to 3,000 gallons.  Fuel</w:t>
      </w:r>
      <w:r>
        <w:rPr>
          <w:sz w:val="20"/>
          <w:szCs w:val="20"/>
        </w:rPr>
        <w:t xml:space="preserve"> oil is pumped from the tankwagon truck into a stationary storage tank that is located on the customer’s premises, which is owned by the customer.  The capacity of customer storage tanks ranges from approximately 275 gallons to approximately 1,000 gallons.</w:t>
      </w:r>
      <w:r>
        <w:rPr>
          <w:sz w:val="20"/>
          <w:szCs w:val="20"/>
        </w:rPr>
        <w:t xml:space="preserve"> No single customer accounted for 10% or more of our fuel oil revenues during fiscal 2019.</w:t>
      </w:r>
    </w:p>
    <w:p w:rsidR="00000000" w:rsidRDefault="00827839">
      <w:pPr>
        <w:pStyle w:val="a3"/>
        <w:spacing w:before="360" w:beforeAutospacing="0" w:after="0" w:afterAutospacing="0"/>
        <w:jc w:val="both"/>
        <w:rPr>
          <w:i/>
          <w:iCs/>
          <w:sz w:val="20"/>
          <w:szCs w:val="20"/>
        </w:rPr>
      </w:pPr>
      <w:r>
        <w:rPr>
          <w:i/>
          <w:iCs/>
          <w:sz w:val="20"/>
          <w:szCs w:val="20"/>
        </w:rPr>
        <w:t>Supply</w:t>
      </w:r>
    </w:p>
    <w:p w:rsidR="00000000" w:rsidRDefault="00827839">
      <w:pPr>
        <w:pStyle w:val="a3"/>
        <w:spacing w:before="120" w:beforeAutospacing="0" w:after="0" w:afterAutospacing="0"/>
        <w:ind w:firstLine="556"/>
        <w:jc w:val="both"/>
        <w:rPr>
          <w:sz w:val="20"/>
          <w:szCs w:val="20"/>
        </w:rPr>
      </w:pPr>
      <w:r>
        <w:rPr>
          <w:sz w:val="20"/>
          <w:szCs w:val="20"/>
        </w:rPr>
        <w:t>We obtain fuel oil and other refined fuels in pipeline, truckload or tankwagon quantities, and have contracts with certain pipeline and terminal operators for</w:t>
      </w:r>
      <w:r>
        <w:rPr>
          <w:sz w:val="20"/>
          <w:szCs w:val="20"/>
        </w:rPr>
        <w:t xml:space="preserve"> the right to temporarily store fuel oil at 14 terminal facilities that we do not own.  We have arrangements with certain suppliers of fuel oil, which provide open access to fuel oil at specific terminals throughout the northeast.  Additionally, a portion </w:t>
      </w:r>
      <w:r>
        <w:rPr>
          <w:sz w:val="20"/>
          <w:szCs w:val="20"/>
        </w:rPr>
        <w:t xml:space="preserve">of our purchases of fuel oil are made at local wholesale terminal racks.  In most cases, the supply contracts do not establish the price of fuel oil in advance; rather, prices are typically established based upon market prices at the time of delivery plus </w:t>
      </w:r>
      <w:r>
        <w:rPr>
          <w:sz w:val="20"/>
          <w:szCs w:val="20"/>
        </w:rPr>
        <w:t>or minus a differential for transportation and volume discounts.  We purchase fuel oil from approximately 20 suppliers at approximately 50 supply points.  While fuel oil supply is more susceptible to longer periods of supply constraint than propane, we bel</w:t>
      </w:r>
      <w:r>
        <w:rPr>
          <w:sz w:val="20"/>
          <w:szCs w:val="20"/>
        </w:rPr>
        <w:t>ieve that our supply arrangements will provide us with sufficient supply sources.  Although we make no assurance regarding the availability of supplies of fuel oil in the future, we currently expect to be able to secure adequate supplies during fiscal 2020</w:t>
      </w:r>
      <w:r>
        <w:rPr>
          <w:sz w:val="20"/>
          <w:szCs w:val="20"/>
        </w:rPr>
        <w:t>.</w:t>
      </w:r>
    </w:p>
    <w:p w:rsidR="00000000" w:rsidRDefault="00827839">
      <w:pPr>
        <w:pStyle w:val="a3"/>
        <w:spacing w:before="360" w:beforeAutospacing="0" w:after="0" w:afterAutospacing="0"/>
        <w:jc w:val="both"/>
        <w:rPr>
          <w:i/>
          <w:iCs/>
          <w:sz w:val="20"/>
          <w:szCs w:val="20"/>
        </w:rPr>
      </w:pPr>
      <w:r>
        <w:rPr>
          <w:i/>
          <w:iCs/>
          <w:sz w:val="20"/>
          <w:szCs w:val="20"/>
        </w:rPr>
        <w:t>Competition</w:t>
      </w:r>
    </w:p>
    <w:p w:rsidR="00000000" w:rsidRDefault="00827839">
      <w:pPr>
        <w:pStyle w:val="a3"/>
        <w:spacing w:before="120" w:beforeAutospacing="0" w:after="0" w:afterAutospacing="0"/>
        <w:ind w:firstLine="556"/>
        <w:jc w:val="both"/>
        <w:rPr>
          <w:sz w:val="20"/>
          <w:szCs w:val="20"/>
        </w:rPr>
      </w:pPr>
      <w:r>
        <w:rPr>
          <w:sz w:val="20"/>
          <w:szCs w:val="20"/>
        </w:rPr>
        <w:t xml:space="preserve">The fuel oil industry is a mature industry with total demand expected to remain relatively flat to moderately declining. The fuel oil industry is highly fragmented, characterized by a large number of relatively small, independently owned and </w:t>
      </w:r>
      <w:r>
        <w:rPr>
          <w:sz w:val="20"/>
          <w:szCs w:val="20"/>
        </w:rPr>
        <w:t>operated local distributors.  We compete with other fuel oil distributors offering a broad range of services and prices, from full service distributors to those that solely offer the delivery service. We have developed a wide range of sales programs and se</w:t>
      </w:r>
      <w:r>
        <w:rPr>
          <w:sz w:val="20"/>
          <w:szCs w:val="20"/>
        </w:rPr>
        <w:t>rvice offerings for our fuel oil customer base in an attempt to be viewed as a full service energy provider and to build customer loyalty. For instance, like most companies in the fuel oil business, we provide home heating equipment repair service to our f</w:t>
      </w:r>
      <w:r>
        <w:rPr>
          <w:sz w:val="20"/>
          <w:szCs w:val="20"/>
        </w:rPr>
        <w:t>uel oil customers on a 24-hour a day basis.  The fuel oil business unit also competes for retail customers with suppliers of alternative energy sources, principally natural gas, propane and electricity.</w:t>
      </w:r>
    </w:p>
    <w:p w:rsidR="00000000" w:rsidRDefault="00827839">
      <w:pPr>
        <w:pStyle w:val="a3"/>
        <w:spacing w:before="360" w:beforeAutospacing="0" w:after="0" w:afterAutospacing="0"/>
        <w:jc w:val="center"/>
        <w:rPr>
          <w:b/>
          <w:bCs/>
          <w:i/>
          <w:iCs/>
          <w:sz w:val="20"/>
          <w:szCs w:val="20"/>
        </w:rPr>
      </w:pPr>
      <w:r>
        <w:rPr>
          <w:b/>
          <w:bCs/>
          <w:i/>
          <w:iCs/>
          <w:sz w:val="20"/>
          <w:szCs w:val="20"/>
        </w:rPr>
        <w:t>Natural Gas and Electricity</w:t>
      </w:r>
    </w:p>
    <w:p w:rsidR="00000000" w:rsidRDefault="00827839">
      <w:pPr>
        <w:pStyle w:val="a3"/>
        <w:spacing w:before="240" w:beforeAutospacing="0" w:after="0" w:afterAutospacing="0"/>
        <w:ind w:firstLine="556"/>
        <w:jc w:val="both"/>
        <w:rPr>
          <w:sz w:val="20"/>
          <w:szCs w:val="20"/>
        </w:rPr>
      </w:pPr>
      <w:r>
        <w:rPr>
          <w:sz w:val="20"/>
          <w:szCs w:val="20"/>
        </w:rPr>
        <w:t>We market natural gas and</w:t>
      </w:r>
      <w:r>
        <w:rPr>
          <w:sz w:val="20"/>
          <w:szCs w:val="20"/>
        </w:rPr>
        <w:t xml:space="preserve"> electricity through our 100%-owned subsidiary, Agway Energy Services, LLC (“AES”), in the deregulated markets of New York, Pennsylvania and Maryland primarily to residential and small commercial customers. Historically, local utility companies provided th</w:t>
      </w:r>
      <w:r>
        <w:rPr>
          <w:sz w:val="20"/>
          <w:szCs w:val="20"/>
        </w:rPr>
        <w:t xml:space="preserve">eir customers with all three aspects of electric and natural gas service:  generation, transmission and distribution.  However, under deregulation, public utility commissions in several states are licensing energy service companies, such as AES, to act as </w:t>
      </w:r>
      <w:r>
        <w:rPr>
          <w:sz w:val="20"/>
          <w:szCs w:val="20"/>
        </w:rPr>
        <w:t>alternative suppliers of the commodity to end consumers.  In essence, the local utility companies distribute electricity and natural gas on their distribution systems and we make arrangements for the supply of electricity or natural gas to specific deliver</w:t>
      </w:r>
      <w:r>
        <w:rPr>
          <w:sz w:val="20"/>
          <w:szCs w:val="20"/>
        </w:rPr>
        <w:t>y points. The business strategy of this segment is to expand its market share by concentrating on growth in the customer base and expansion into other deregulated markets that are considered strategic markets.</w:t>
      </w:r>
    </w:p>
    <w:p w:rsidR="00000000" w:rsidRDefault="00827839">
      <w:pPr>
        <w:pStyle w:val="a3"/>
        <w:spacing w:before="240" w:beforeAutospacing="0" w:after="0" w:afterAutospacing="0"/>
        <w:ind w:firstLine="556"/>
        <w:jc w:val="both"/>
        <w:rPr>
          <w:sz w:val="20"/>
          <w:szCs w:val="20"/>
        </w:rPr>
      </w:pPr>
      <w:r>
        <w:rPr>
          <w:sz w:val="20"/>
          <w:szCs w:val="20"/>
        </w:rPr>
        <w:t xml:space="preserve">We serve approximately 52,000 natural gas and </w:t>
      </w:r>
      <w:r>
        <w:rPr>
          <w:sz w:val="20"/>
          <w:szCs w:val="20"/>
        </w:rPr>
        <w:t>electricity customers in New York, Pennsylvania and Maryland.  </w:t>
      </w:r>
      <w:r>
        <w:rPr>
          <w:color w:val="000000"/>
          <w:sz w:val="20"/>
          <w:szCs w:val="20"/>
        </w:rPr>
        <w:t>Two orders issued by the New York Public Service Commission (“NY PSC”) have impacted our ability to acquire new customers in New York. The Low-Income Order, which became effective in 2018, requ</w:t>
      </w:r>
      <w:r>
        <w:rPr>
          <w:color w:val="000000"/>
          <w:sz w:val="20"/>
          <w:szCs w:val="20"/>
        </w:rPr>
        <w:t>ired that all Energy Service Companies (“ESCOs”) operating in the state return their low-income residential customers to local utility service. As a result, we returned approximately 6,100 of our AES customers to local utility service.  A second order issu</w:t>
      </w:r>
      <w:r>
        <w:rPr>
          <w:color w:val="000000"/>
          <w:sz w:val="20"/>
          <w:szCs w:val="20"/>
        </w:rPr>
        <w:t>ed by the NY PSC in 2016 attempted to impose rules that would have allowed the NY PSC to regulate ESCO pricing, which was subsequently challenged and struck down by the New York Supreme Court.  On appeal, the New York State Court of Appeals issued a ruling</w:t>
      </w:r>
      <w:r>
        <w:rPr>
          <w:color w:val="000000"/>
          <w:sz w:val="20"/>
          <w:szCs w:val="20"/>
        </w:rPr>
        <w:t xml:space="preserve"> in 2019 that held that the NY PSC cannot regulate ESCO pricing, but does have the ability to restrict an ESCO’s access to the utility distribution system if the NY PSC determines that an ESCO’s pricing is not “just and reasonable.” The NY PSC is continuin</w:t>
      </w:r>
      <w:r>
        <w:rPr>
          <w:color w:val="000000"/>
          <w:sz w:val="20"/>
          <w:szCs w:val="20"/>
        </w:rPr>
        <w:t xml:space="preserve">g its rulemaking proceedings that it began in 2017 (after the initial 2016 rules were struck down) and we expect that finalized rules will be issued based on the 2019 Court of Appeals’ decision.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w:t>
      </w:r>
    </w:p>
    <w:p w:rsidR="00000000" w:rsidRDefault="00827839">
      <w:pPr>
        <w:rPr>
          <w:rFonts w:eastAsia="Times New Roman"/>
        </w:rPr>
      </w:pPr>
      <w:r>
        <w:rPr>
          <w:rFonts w:eastAsia="Times New Roman"/>
        </w:rPr>
        <w:pict>
          <v:rect id="_x0000_i103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During fiscal 2019, we sold approximately 2.5 million dekatherms of natural gas and 312.3 million kilowatt hours of electricity through the natural gas and elec</w:t>
      </w:r>
      <w:r>
        <w:rPr>
          <w:sz w:val="20"/>
          <w:szCs w:val="20"/>
        </w:rPr>
        <w:t>tricity segment. Approximately 88% of our customers were residential households and the remainder were small commercial and industrial customers.  New accounts are obtained through numerous marketing and advertising programs, including telemarketing and di</w:t>
      </w:r>
      <w:r>
        <w:rPr>
          <w:sz w:val="20"/>
          <w:szCs w:val="20"/>
        </w:rPr>
        <w:t>rect mail initiatives.  Most local utility companies have established billing service arrangements whereby customers receive a single bill from the local utility company, which includes distribution charges from the local utility company, as well as produc</w:t>
      </w:r>
      <w:r>
        <w:rPr>
          <w:sz w:val="20"/>
          <w:szCs w:val="20"/>
        </w:rPr>
        <w:t>t charges for the amount of natural gas or electricity provided by AES and utilized by the customer.  We have arrangements with several local utility companies that provide billing and collection services for a fee.  Under these arrangements, we are paid b</w:t>
      </w:r>
      <w:r>
        <w:rPr>
          <w:sz w:val="20"/>
          <w:szCs w:val="20"/>
        </w:rPr>
        <w:t>y the local utility company for all or a portion of customer billings after a specified number of days following the customer billing with no further recourse to AES.</w:t>
      </w:r>
    </w:p>
    <w:p w:rsidR="00000000" w:rsidRDefault="00827839">
      <w:pPr>
        <w:pStyle w:val="a3"/>
        <w:spacing w:before="240" w:beforeAutospacing="0" w:after="0" w:afterAutospacing="0"/>
        <w:ind w:firstLine="556"/>
        <w:jc w:val="both"/>
        <w:rPr>
          <w:sz w:val="20"/>
          <w:szCs w:val="20"/>
        </w:rPr>
      </w:pPr>
      <w:r>
        <w:rPr>
          <w:sz w:val="20"/>
          <w:szCs w:val="20"/>
        </w:rPr>
        <w:t>Supply of natural gas is arranged through annual supply agreements with major national wh</w:t>
      </w:r>
      <w:r>
        <w:rPr>
          <w:sz w:val="20"/>
          <w:szCs w:val="20"/>
        </w:rPr>
        <w:t>olesale suppliers.  Pricing under the annual natural gas supply contracts is based on posted market prices at the time of delivery, and some contracts include a pricing formula that typically is based on prevailing market prices.  The majority of our elect</w:t>
      </w:r>
      <w:r>
        <w:rPr>
          <w:sz w:val="20"/>
          <w:szCs w:val="20"/>
        </w:rPr>
        <w:t>ricity requirements are purchased through the New York Independent System Operator (“NYISO”) and PJM Interconnection (“PJM”) under annual supply agreements, as well as purchase arrangements through other national wholesale suppliers on the open market.  El</w:t>
      </w:r>
      <w:r>
        <w:rPr>
          <w:sz w:val="20"/>
          <w:szCs w:val="20"/>
        </w:rPr>
        <w:t>ectricity pricing under the NYISO and PJM agreements are based on local market indices at the time of delivery.  Competition is primarily with local utility companies, as well as other marketers of natural gas and electricity providing similar alternatives</w:t>
      </w:r>
      <w:r>
        <w:rPr>
          <w:sz w:val="20"/>
          <w:szCs w:val="20"/>
        </w:rPr>
        <w:t xml:space="preserve"> as AES.</w:t>
      </w:r>
    </w:p>
    <w:p w:rsidR="00000000" w:rsidRDefault="00827839">
      <w:pPr>
        <w:pStyle w:val="a3"/>
        <w:spacing w:before="360" w:beforeAutospacing="0" w:after="0" w:afterAutospacing="0"/>
        <w:jc w:val="center"/>
        <w:rPr>
          <w:b/>
          <w:bCs/>
          <w:i/>
          <w:iCs/>
          <w:sz w:val="20"/>
          <w:szCs w:val="20"/>
        </w:rPr>
      </w:pPr>
      <w:r>
        <w:rPr>
          <w:b/>
          <w:bCs/>
          <w:i/>
          <w:iCs/>
          <w:sz w:val="20"/>
          <w:szCs w:val="20"/>
        </w:rPr>
        <w:t>All Other</w:t>
      </w:r>
    </w:p>
    <w:p w:rsidR="00000000" w:rsidRDefault="00827839">
      <w:pPr>
        <w:pStyle w:val="a3"/>
        <w:spacing w:before="240" w:beforeAutospacing="0" w:after="0" w:afterAutospacing="0"/>
        <w:ind w:firstLine="556"/>
        <w:jc w:val="both"/>
        <w:rPr>
          <w:sz w:val="20"/>
          <w:szCs w:val="20"/>
        </w:rPr>
      </w:pPr>
      <w:r>
        <w:rPr>
          <w:sz w:val="20"/>
          <w:szCs w:val="20"/>
        </w:rPr>
        <w:t>We sell, install and service various types of whole-house heating products, air cleaners, humidifiers and space heaters to the customers of our propane, fuel oil, natural gas and electricity businesses.  Our supply needs are filled throu</w:t>
      </w:r>
      <w:r>
        <w:rPr>
          <w:sz w:val="20"/>
          <w:szCs w:val="20"/>
        </w:rPr>
        <w:t>gh supply arrangements with several large regional equipment manufacturers and distribution companies.  Competition in this business is primarily with small, local heating and ventilation providers and contractors, as well as, to a lesser extent, other reg</w:t>
      </w:r>
      <w:r>
        <w:rPr>
          <w:sz w:val="20"/>
          <w:szCs w:val="20"/>
        </w:rPr>
        <w:t xml:space="preserve">ional service providers.  The focus of our ongoing service offerings are in support of the service needs of our existing customer base within our propane, refined fuels and natural gas and electricity business segments.  Additionally, we have entered into </w:t>
      </w:r>
      <w:r>
        <w:rPr>
          <w:sz w:val="20"/>
          <w:szCs w:val="20"/>
        </w:rPr>
        <w:t>arrangements with third-party service providers to complement and, in certain instances, supplement our existing service capabilities.</w:t>
      </w:r>
    </w:p>
    <w:p w:rsidR="00000000" w:rsidRDefault="00827839">
      <w:pPr>
        <w:pStyle w:val="a3"/>
        <w:spacing w:before="360" w:beforeAutospacing="0" w:after="0" w:afterAutospacing="0"/>
        <w:jc w:val="both"/>
        <w:rPr>
          <w:b/>
          <w:bCs/>
          <w:sz w:val="20"/>
          <w:szCs w:val="20"/>
        </w:rPr>
      </w:pPr>
      <w:r>
        <w:rPr>
          <w:b/>
          <w:bCs/>
          <w:sz w:val="20"/>
          <w:szCs w:val="20"/>
        </w:rPr>
        <w:t>Seasonality</w:t>
      </w:r>
    </w:p>
    <w:p w:rsidR="00000000" w:rsidRDefault="00827839">
      <w:pPr>
        <w:pStyle w:val="a3"/>
        <w:spacing w:before="120" w:beforeAutospacing="0" w:after="0" w:afterAutospacing="0"/>
        <w:ind w:firstLine="556"/>
        <w:jc w:val="both"/>
        <w:rPr>
          <w:sz w:val="20"/>
          <w:szCs w:val="20"/>
        </w:rPr>
      </w:pPr>
      <w:r>
        <w:rPr>
          <w:sz w:val="20"/>
          <w:szCs w:val="20"/>
        </w:rPr>
        <w:t>The retail propane and fuel oil distribution businesses, as well as the natural gas marketing business, are s</w:t>
      </w:r>
      <w:r>
        <w:rPr>
          <w:sz w:val="20"/>
          <w:szCs w:val="20"/>
        </w:rPr>
        <w:t>easonal because the primary use of these fuels is for heating residential and commercial buildings.  Historically, approximately two</w:t>
      </w:r>
      <w:r>
        <w:rPr>
          <w:sz w:val="20"/>
          <w:szCs w:val="20"/>
        </w:rPr>
        <w:noBreakHyphen/>
        <w:t xml:space="preserve">thirds of our retail propane volume is sold during the six-month peak heating season from October through March.  The fuel </w:t>
      </w:r>
      <w:r>
        <w:rPr>
          <w:sz w:val="20"/>
          <w:szCs w:val="20"/>
        </w:rPr>
        <w:t>oil business tends to experience greater seasonality given its more limited use for space heating, and approximately three-fourths of our fuel oil volumes are sold between October and March.  Consequently, sales and operating profits are concentrated in ou</w:t>
      </w:r>
      <w:r>
        <w:rPr>
          <w:sz w:val="20"/>
          <w:szCs w:val="20"/>
        </w:rPr>
        <w:t>r first and second fiscal quarters.  Cash flows from operations, therefore, are greatest during the second and third fiscal quarters when customers pay for product purchased during the winter heating season.  We expect lower operating profits and either ne</w:t>
      </w:r>
      <w:r>
        <w:rPr>
          <w:sz w:val="20"/>
          <w:szCs w:val="20"/>
        </w:rPr>
        <w:t>t losses or lower net income during the period from April through September (our third and fourth fiscal quarters).</w:t>
      </w:r>
    </w:p>
    <w:p w:rsidR="00000000" w:rsidRDefault="00827839">
      <w:pPr>
        <w:pStyle w:val="a3"/>
        <w:spacing w:before="240" w:beforeAutospacing="0" w:after="0" w:afterAutospacing="0"/>
        <w:ind w:firstLine="556"/>
        <w:jc w:val="both"/>
        <w:rPr>
          <w:sz w:val="20"/>
          <w:szCs w:val="20"/>
        </w:rPr>
      </w:pPr>
      <w:r>
        <w:rPr>
          <w:sz w:val="20"/>
          <w:szCs w:val="20"/>
        </w:rPr>
        <w:t>Weather conditions have a significant impact on the demand for our products, in particular propane, fuel oil and natural gas, for both heati</w:t>
      </w:r>
      <w:r>
        <w:rPr>
          <w:sz w:val="20"/>
          <w:szCs w:val="20"/>
        </w:rPr>
        <w:t>ng and agricultural purposes.  Many of our customers rely on propane, fuel oil or natural gas primarily as a heating source.  Accordingly, the volume sold is directly affected by the severity of the winter weather in our service areas, which can vary subst</w:t>
      </w:r>
      <w:r>
        <w:rPr>
          <w:sz w:val="20"/>
          <w:szCs w:val="20"/>
        </w:rPr>
        <w:t>antially from year to year.  In any given area, sustained warmer than normal temperatures will tend to result in reduced propane, fuel oil and natural gas consumption, while sustained colder than normal temperatures will tend to result in greater consumpti</w:t>
      </w:r>
      <w:r>
        <w:rPr>
          <w:sz w:val="20"/>
          <w:szCs w:val="20"/>
        </w:rPr>
        <w:t>on.</w:t>
      </w:r>
    </w:p>
    <w:p w:rsidR="00000000" w:rsidRDefault="00827839">
      <w:pPr>
        <w:pStyle w:val="a3"/>
        <w:spacing w:before="360" w:beforeAutospacing="0" w:after="0" w:afterAutospacing="0"/>
        <w:jc w:val="both"/>
        <w:rPr>
          <w:b/>
          <w:bCs/>
          <w:sz w:val="20"/>
          <w:szCs w:val="20"/>
        </w:rPr>
      </w:pPr>
      <w:r>
        <w:rPr>
          <w:b/>
          <w:bCs/>
          <w:sz w:val="20"/>
          <w:szCs w:val="20"/>
        </w:rPr>
        <w:t>Trademarks and Tradenames</w:t>
      </w:r>
    </w:p>
    <w:p w:rsidR="00000000" w:rsidRDefault="00827839">
      <w:pPr>
        <w:pStyle w:val="a3"/>
        <w:spacing w:before="120" w:beforeAutospacing="0" w:after="0" w:afterAutospacing="0"/>
        <w:ind w:firstLine="556"/>
        <w:jc w:val="both"/>
        <w:rPr>
          <w:sz w:val="20"/>
          <w:szCs w:val="20"/>
        </w:rPr>
      </w:pPr>
      <w:r>
        <w:rPr>
          <w:sz w:val="20"/>
          <w:szCs w:val="20"/>
        </w:rPr>
        <w:t xml:space="preserve">We utilize a variety of trademarks and tradenames owned by us, including “Suburban Propane.” We regard our trademarks, tradenames and other proprietary rights as valuable assets and believe that they have significant value in </w:t>
      </w:r>
      <w:r>
        <w:rPr>
          <w:sz w:val="20"/>
          <w:szCs w:val="20"/>
        </w:rPr>
        <w:t>the marketing of our products and services.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w:t>
      </w:r>
    </w:p>
    <w:p w:rsidR="00000000" w:rsidRDefault="00827839">
      <w:pPr>
        <w:rPr>
          <w:rFonts w:eastAsia="Times New Roman"/>
        </w:rPr>
      </w:pPr>
      <w:r>
        <w:rPr>
          <w:rFonts w:eastAsia="Times New Roman"/>
        </w:rPr>
        <w:pict>
          <v:rect id="_x0000_i103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sz w:val="20"/>
          <w:szCs w:val="20"/>
        </w:rPr>
      </w:pPr>
      <w:r>
        <w:rPr>
          <w:b/>
          <w:bCs/>
          <w:sz w:val="20"/>
          <w:szCs w:val="20"/>
        </w:rPr>
        <w:t>Government Regulation; Environmental, Health and Safety Matters</w:t>
      </w:r>
    </w:p>
    <w:p w:rsidR="00000000" w:rsidRDefault="00827839">
      <w:pPr>
        <w:pStyle w:val="a3"/>
        <w:spacing w:before="120" w:beforeAutospacing="0" w:after="0" w:afterAutospacing="0"/>
        <w:ind w:firstLine="556"/>
        <w:jc w:val="both"/>
        <w:rPr>
          <w:sz w:val="20"/>
          <w:szCs w:val="20"/>
        </w:rPr>
      </w:pPr>
      <w:r>
        <w:rPr>
          <w:sz w:val="20"/>
          <w:szCs w:val="20"/>
        </w:rPr>
        <w:t>Our operations are subject to numerous federal, state and local environmental, health and safety laws and regulations. Generally, these laws and regulations impose limitations on the discharge of hazardous materials and pollutants and establish standards f</w:t>
      </w:r>
      <w:r>
        <w:rPr>
          <w:sz w:val="20"/>
          <w:szCs w:val="20"/>
        </w:rPr>
        <w:t>or the handling, transportation, distribution, treatment, storage and disposal of hazardous materials and solid and hazardous wastes and can require the investigation, cleanup or monitoring of environmental contamination. Additionally, there are environmen</w:t>
      </w:r>
      <w:r>
        <w:rPr>
          <w:sz w:val="20"/>
          <w:szCs w:val="20"/>
        </w:rPr>
        <w:t>tal regulations specific to the sale of electricity and natural gas in the retail energy market by our wholly owned subsidiary Agway Energy Services, LLC. Notably these laws include the federal; Comprehensive Environmental Response, Compensation, and Liabi</w:t>
      </w:r>
      <w:r>
        <w:rPr>
          <w:sz w:val="20"/>
          <w:szCs w:val="20"/>
        </w:rPr>
        <w:t>lity Act (“CERCLA”); Resource Conservation and Recovery Act (“RCRA”); Clean Air Act; Clean Water Act; National Environmental Policy Act; and equivalent state regulations.  Under these laws, we must maintain various permits and comply with various monitorin</w:t>
      </w:r>
      <w:r>
        <w:rPr>
          <w:sz w:val="20"/>
          <w:szCs w:val="20"/>
        </w:rPr>
        <w:t>g and reporting requirements.</w:t>
      </w:r>
    </w:p>
    <w:p w:rsidR="00000000" w:rsidRDefault="00827839">
      <w:pPr>
        <w:pStyle w:val="a3"/>
        <w:spacing w:before="240" w:beforeAutospacing="0" w:after="0" w:afterAutospacing="0"/>
        <w:ind w:firstLine="556"/>
        <w:jc w:val="both"/>
        <w:rPr>
          <w:sz w:val="20"/>
          <w:szCs w:val="20"/>
        </w:rPr>
      </w:pPr>
      <w:r>
        <w:rPr>
          <w:sz w:val="20"/>
          <w:szCs w:val="20"/>
        </w:rPr>
        <w:t>We own real property at locations where hazardous materials may be or may have been present as a result of prior activities.  We expect that we will be required to expend funds to participate in the remediation of certain site</w:t>
      </w:r>
      <w:r>
        <w:rPr>
          <w:sz w:val="20"/>
          <w:szCs w:val="20"/>
        </w:rPr>
        <w:t>s, including sites where we have been designated as a potentially responsible party under applicable laws and at sites with aboveground and underground fuel storage tanks.  We will also incur other expenses associated with environmental compliance.  We con</w:t>
      </w:r>
      <w:r>
        <w:rPr>
          <w:sz w:val="20"/>
          <w:szCs w:val="20"/>
        </w:rPr>
        <w:t>tinually monitor our operations with respect to potential environmental issues, including changes in legal requirements and remediation technologies.  As of September 28, 2019, we had accrued environmental liabilities of $1.2 million representing the total</w:t>
      </w:r>
      <w:r>
        <w:rPr>
          <w:sz w:val="20"/>
          <w:szCs w:val="20"/>
        </w:rPr>
        <w:t xml:space="preserve"> estimated future liability for remediation and monitoring of all of our properties.</w:t>
      </w:r>
    </w:p>
    <w:p w:rsidR="00000000" w:rsidRDefault="00827839">
      <w:pPr>
        <w:pStyle w:val="a3"/>
        <w:spacing w:before="240" w:beforeAutospacing="0" w:after="0" w:afterAutospacing="0"/>
        <w:ind w:firstLine="556"/>
        <w:jc w:val="both"/>
        <w:rPr>
          <w:sz w:val="20"/>
          <w:szCs w:val="20"/>
        </w:rPr>
      </w:pPr>
      <w:r>
        <w:rPr>
          <w:sz w:val="20"/>
          <w:szCs w:val="20"/>
        </w:rPr>
        <w:t>Estimating the extent of our responsibility at a particular site, and the method and ultimate cost of remediation and monitoring of that site, requires making numerous ass</w:t>
      </w:r>
      <w:r>
        <w:rPr>
          <w:sz w:val="20"/>
          <w:szCs w:val="20"/>
        </w:rPr>
        <w:t>umptions.  As a result, the ultimate cost to remediate and monitor any site may differ from current estimates, and will depend, in part, on whether there is additional contamination, not currently known to us, at that site. However, we believe that our pas</w:t>
      </w:r>
      <w:r>
        <w:rPr>
          <w:sz w:val="20"/>
          <w:szCs w:val="20"/>
        </w:rPr>
        <w:t>t experience provides a reasonable basis for estimating these liabilities.  As additional information becomes available, estimates are adjusted as necessary.  While we do not anticipate that any such adjustment would be material to our financial statements</w:t>
      </w:r>
      <w:r>
        <w:rPr>
          <w:sz w:val="20"/>
          <w:szCs w:val="20"/>
        </w:rPr>
        <w:t>, the result of ongoing or future environmental studies or other factors could alter this expectation and require recording additional liabilities.  We currently cannot determine whether we will incur additional liabilities or the extent or amount of any s</w:t>
      </w:r>
      <w:r>
        <w:rPr>
          <w:sz w:val="20"/>
          <w:szCs w:val="20"/>
        </w:rPr>
        <w:t>uch liabilities, or the extent to which such additional liabilities would be subject to any contractual indemnification protections.</w:t>
      </w:r>
    </w:p>
    <w:p w:rsidR="00000000" w:rsidRDefault="00827839">
      <w:pPr>
        <w:pStyle w:val="a3"/>
        <w:spacing w:before="240" w:beforeAutospacing="0" w:after="0" w:afterAutospacing="0"/>
        <w:ind w:firstLine="556"/>
        <w:jc w:val="both"/>
        <w:rPr>
          <w:sz w:val="20"/>
          <w:szCs w:val="20"/>
        </w:rPr>
      </w:pPr>
      <w:r>
        <w:rPr>
          <w:sz w:val="20"/>
          <w:szCs w:val="20"/>
        </w:rPr>
        <w:t>Certain rules and procedures imposed by the National Fire Protection Association (“NFPA”), as well as comparable state regu</w:t>
      </w:r>
      <w:r>
        <w:rPr>
          <w:sz w:val="20"/>
          <w:szCs w:val="20"/>
        </w:rPr>
        <w:t xml:space="preserve">lations govern the safe handling of propane and establish industry standard for propane storage, distribution and equipment installation and operation in all of the states in which we operate.  In some states these laws are administered by state agencies, </w:t>
      </w:r>
      <w:r>
        <w:rPr>
          <w:sz w:val="20"/>
          <w:szCs w:val="20"/>
        </w:rPr>
        <w:t xml:space="preserve">and in others they are administered on a municipal level. </w:t>
      </w:r>
    </w:p>
    <w:p w:rsidR="00000000" w:rsidRDefault="00827839">
      <w:pPr>
        <w:pStyle w:val="a3"/>
        <w:spacing w:before="240" w:beforeAutospacing="0" w:after="0" w:afterAutospacing="0"/>
        <w:ind w:firstLine="556"/>
        <w:jc w:val="both"/>
        <w:rPr>
          <w:sz w:val="20"/>
          <w:szCs w:val="20"/>
        </w:rPr>
      </w:pPr>
      <w:r>
        <w:rPr>
          <w:sz w:val="20"/>
          <w:szCs w:val="20"/>
        </w:rPr>
        <w:t>The NFPA’s rules and procedures, as well as comparable state regulations govern the safe handling of distillates (fuel oil, kerosene and diesel fuel) and gasoline and establish the industry standar</w:t>
      </w:r>
      <w:r>
        <w:rPr>
          <w:sz w:val="20"/>
          <w:szCs w:val="20"/>
        </w:rPr>
        <w:t>d for fuel oil, kerosene, diesel fuel and gasoline storage, distribution and equipment installation and operation in all of the states in which we sell those products.  In some states these laws are administered by state agencies and in others they are adm</w:t>
      </w:r>
      <w:r>
        <w:rPr>
          <w:sz w:val="20"/>
          <w:szCs w:val="20"/>
        </w:rPr>
        <w:t xml:space="preserve">inistered on a municipal level. </w:t>
      </w:r>
    </w:p>
    <w:p w:rsidR="00000000" w:rsidRDefault="00827839">
      <w:pPr>
        <w:pStyle w:val="a3"/>
        <w:spacing w:before="240" w:beforeAutospacing="0" w:after="0" w:afterAutospacing="0"/>
        <w:ind w:firstLine="556"/>
        <w:jc w:val="both"/>
        <w:rPr>
          <w:sz w:val="20"/>
          <w:szCs w:val="20"/>
        </w:rPr>
      </w:pPr>
      <w:r>
        <w:rPr>
          <w:sz w:val="20"/>
          <w:szCs w:val="20"/>
        </w:rPr>
        <w:t>With respect to the transportation of propane, distillates and gasoline by truck, we are subject to laws and regulations that cover the transportation of hazardous materials and are administered, respectively, by the Federa</w:t>
      </w:r>
      <w:r>
        <w:rPr>
          <w:sz w:val="20"/>
          <w:szCs w:val="20"/>
        </w:rPr>
        <w:t>l Motor Carrier Safety Administration and the Pipeline and Hazardous Materials Safety Administration of the United States Department of Transportation (“DOT”), or similar state agencies.  We conduct ongoing training programs to help ensure that our operati</w:t>
      </w:r>
      <w:r>
        <w:rPr>
          <w:sz w:val="20"/>
          <w:szCs w:val="20"/>
        </w:rPr>
        <w:t>ons are in compliance with these and other applicable safety laws and regulations.  We maintain various permits that are necessary to operate our facilities, some of which may be material to our operations.  In compliance with the DOT’s pipeline safety reg</w:t>
      </w:r>
      <w:r>
        <w:rPr>
          <w:sz w:val="20"/>
          <w:szCs w:val="20"/>
        </w:rPr>
        <w:t>ulations for “jurisdictional” propane systems that serve multiple customers, we provide training and written instruction for our employees, provide customers with periodic awareness notices and safety information, have established written procedures to min</w:t>
      </w:r>
      <w:r>
        <w:rPr>
          <w:sz w:val="20"/>
          <w:szCs w:val="20"/>
        </w:rPr>
        <w:t>imize the hazards resulting from gas pipeline emergencies and keep records of inspections.  </w:t>
      </w:r>
    </w:p>
    <w:p w:rsidR="00000000" w:rsidRDefault="00827839">
      <w:pPr>
        <w:pStyle w:val="a3"/>
        <w:spacing w:before="240" w:beforeAutospacing="0" w:after="0" w:afterAutospacing="0"/>
        <w:ind w:firstLine="556"/>
        <w:jc w:val="both"/>
        <w:rPr>
          <w:sz w:val="20"/>
          <w:szCs w:val="20"/>
        </w:rPr>
      </w:pPr>
      <w:r>
        <w:rPr>
          <w:sz w:val="20"/>
          <w:szCs w:val="20"/>
        </w:rPr>
        <w:t>Our operations are subject to workplace safety standards under the Federal Occupational Safety and Health Act of 1970 (“OSHA”) and comparable state laws that regul</w:t>
      </w:r>
      <w:r>
        <w:rPr>
          <w:sz w:val="20"/>
          <w:szCs w:val="20"/>
        </w:rPr>
        <w:t>ate the protection of worker health and safety.  Compliance with these standards is monitored through required workplace injury and illness recordkeeping, and reporting.  We believe that our operations are in compliance, in all material respects, with appl</w:t>
      </w:r>
      <w:r>
        <w:rPr>
          <w:sz w:val="20"/>
          <w:szCs w:val="20"/>
        </w:rPr>
        <w:t>icable worker health and safety standards.  We are also subject to laws and regulations governing the security of hazardous materials, including propane, under the Federal Homeland Security Act of 2002, as administered by the Department of Homeland Securit</w:t>
      </w:r>
      <w:r>
        <w:rPr>
          <w:sz w:val="20"/>
          <w:szCs w:val="20"/>
        </w:rPr>
        <w:t>y (“DHS”).  The DHS promulgated the Chemical Facility Anti-Terrorism Standards (“CFATS”) to identify and secure chemical facilities that present the greatest security risk using a risk-based tiering structure.  We have a number of facilities registered wit</w:t>
      </w:r>
      <w:r>
        <w:rPr>
          <w:sz w:val="20"/>
          <w:szCs w:val="20"/>
        </w:rPr>
        <w:t>h the DHS.  Currently, we have submitted all required Top-Screens as defined by DHS and have developed approved Site Security Plans for our regulated or “tiered” facilities. Less than 5% of our facilities are designated as tiered facilities. We expect to c</w:t>
      </w:r>
      <w:r>
        <w:rPr>
          <w:sz w:val="20"/>
          <w:szCs w:val="20"/>
        </w:rPr>
        <w:t>ontinue to incur minor costs associated with administrative controls and enhanced physical security measures for those tiered facilities that are subject to ongoing compliance activity.</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w:t>
      </w:r>
    </w:p>
    <w:p w:rsidR="00000000" w:rsidRDefault="00827839">
      <w:pPr>
        <w:rPr>
          <w:rFonts w:eastAsia="Times New Roman"/>
        </w:rPr>
      </w:pPr>
      <w:r>
        <w:rPr>
          <w:rFonts w:eastAsia="Times New Roman"/>
        </w:rPr>
        <w:pict>
          <v:rect id="_x0000_i103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In 2009, the U.S. Environmental Protection Agency (“EPA”) issued an Endangerment Finding under the Clean Air Act, determining that emissions of carbon dioxide, methane and four other greenhouse gases (“GHGs”) threaten the publ</w:t>
      </w:r>
      <w:r>
        <w:rPr>
          <w:sz w:val="20"/>
          <w:szCs w:val="20"/>
        </w:rPr>
        <w:t>ic health and welfare of current and future generations. Based on these findings, the EPA has begun adopting and implementing regulations to restrict emissions of GHGs and require reporting by certain regulated facilities.  These regulations impact both ou</w:t>
      </w:r>
      <w:r>
        <w:rPr>
          <w:sz w:val="20"/>
          <w:szCs w:val="20"/>
        </w:rPr>
        <w:t>r core business, as well as the retail sale of electricity and natural gas by AES. The EPA’s authority to regulate GHGs has been upheld by the U.S. Supreme Court.  Under the current administration, the EPA has stopped the implementation of regulations rega</w:t>
      </w:r>
      <w:r>
        <w:rPr>
          <w:sz w:val="20"/>
          <w:szCs w:val="20"/>
        </w:rPr>
        <w:t>rding GHG emissions and is unlikely to take any enforcement action relating to GHG regulations.</w:t>
      </w:r>
    </w:p>
    <w:p w:rsidR="00000000" w:rsidRDefault="00827839">
      <w:pPr>
        <w:pStyle w:val="a3"/>
        <w:spacing w:before="240" w:beforeAutospacing="0" w:after="0" w:afterAutospacing="0"/>
        <w:ind w:firstLine="556"/>
        <w:jc w:val="both"/>
        <w:rPr>
          <w:sz w:val="20"/>
          <w:szCs w:val="20"/>
        </w:rPr>
      </w:pPr>
      <w:r>
        <w:rPr>
          <w:sz w:val="20"/>
          <w:szCs w:val="20"/>
        </w:rPr>
        <w:t xml:space="preserve">Both Houses of the United States Congress also have considered adopting legislation to reduce emissions of GHGs.  Although Congress has not yet enacted federal </w:t>
      </w:r>
      <w:r>
        <w:rPr>
          <w:sz w:val="20"/>
          <w:szCs w:val="20"/>
        </w:rPr>
        <w:t>climate change legislation, numerous states and municipalities have adopted laws and policies to regulate GHG emissions.  These regulatory actions could require us to incur increased expenses. We cannot predict whether or in what form additional climate ch</w:t>
      </w:r>
      <w:r>
        <w:rPr>
          <w:sz w:val="20"/>
          <w:szCs w:val="20"/>
        </w:rPr>
        <w:t>ange regulations will be enacted and what effect such regulation may have on our business, financial condition or operations in the future.</w:t>
      </w:r>
    </w:p>
    <w:p w:rsidR="00000000" w:rsidRDefault="00827839">
      <w:pPr>
        <w:pStyle w:val="a3"/>
        <w:spacing w:before="240" w:beforeAutospacing="0" w:after="0" w:afterAutospacing="0"/>
        <w:ind w:firstLine="556"/>
        <w:jc w:val="both"/>
        <w:rPr>
          <w:sz w:val="20"/>
          <w:szCs w:val="20"/>
        </w:rPr>
      </w:pPr>
      <w:r>
        <w:rPr>
          <w:sz w:val="20"/>
          <w:szCs w:val="20"/>
        </w:rPr>
        <w:t>The adoption of federal, state or local climate change legislation or regulatory programs to reduce emissions of GHG</w:t>
      </w:r>
      <w:r>
        <w:rPr>
          <w:sz w:val="20"/>
          <w:szCs w:val="20"/>
        </w:rPr>
        <w:t>s could require us to incur increased capital and operating costs, with resulting impact on product price. We cannot predict whether or in what form climate change legislation provisions and renewable energy standards may be enacted and what effect such re</w:t>
      </w:r>
      <w:r>
        <w:rPr>
          <w:sz w:val="20"/>
          <w:szCs w:val="20"/>
        </w:rPr>
        <w:t xml:space="preserve">gulation may have on our business, financial condition or operations in the future. In addition, a consequence of climate change is increased volatility in seasonal temperatures. It is difficult to predict how the market for our products would be affected </w:t>
      </w:r>
      <w:r>
        <w:rPr>
          <w:sz w:val="20"/>
          <w:szCs w:val="20"/>
        </w:rPr>
        <w:t>by increased temperature volatility, although if there is an overall trend of warmer temperatures, it could adversely affect our business.</w:t>
      </w:r>
    </w:p>
    <w:p w:rsidR="00000000" w:rsidRDefault="00827839">
      <w:pPr>
        <w:pStyle w:val="a3"/>
        <w:spacing w:before="240" w:beforeAutospacing="0" w:after="0" w:afterAutospacing="0"/>
        <w:ind w:firstLine="556"/>
        <w:jc w:val="both"/>
        <w:rPr>
          <w:sz w:val="20"/>
          <w:szCs w:val="20"/>
        </w:rPr>
      </w:pPr>
      <w:r>
        <w:rPr>
          <w:sz w:val="20"/>
          <w:szCs w:val="20"/>
        </w:rPr>
        <w:t>Future developments, such as stricter environmental, health or safety laws and regulations, could affect our operatio</w:t>
      </w:r>
      <w:r>
        <w:rPr>
          <w:sz w:val="20"/>
          <w:szCs w:val="20"/>
        </w:rPr>
        <w:t>ns. We do not anticipate that the cost of our compliance with environmental, health and safety laws and regulations, including RCRA and CERCLA, as currently in effect and applicable to known sites will have a material adverse effect on our financial condit</w:t>
      </w:r>
      <w:r>
        <w:rPr>
          <w:sz w:val="20"/>
          <w:szCs w:val="20"/>
        </w:rPr>
        <w:t>ion or results of operations.  However, there can be no assurance that our financial condition or operations will not be materially adversely affected by future discovery of, presently unknown, environmental liabilities or future environmental regulations.</w:t>
      </w:r>
    </w:p>
    <w:p w:rsidR="00000000" w:rsidRDefault="00827839">
      <w:pPr>
        <w:pStyle w:val="a3"/>
        <w:spacing w:before="240" w:beforeAutospacing="0" w:after="0" w:afterAutospacing="0"/>
        <w:ind w:firstLine="556"/>
        <w:jc w:val="both"/>
        <w:rPr>
          <w:sz w:val="20"/>
          <w:szCs w:val="20"/>
        </w:rPr>
      </w:pPr>
      <w:r>
        <w:rPr>
          <w:sz w:val="20"/>
          <w:szCs w:val="20"/>
        </w:rPr>
        <w:t>Many of the states in which we do business have passed laws prohibiting “unfair or deceptive practices” in transactions between consumers and sellers of products used for residential purposes, which give the Attorney General or other officials of that sta</w:t>
      </w:r>
      <w:r>
        <w:rPr>
          <w:sz w:val="20"/>
          <w:szCs w:val="20"/>
        </w:rPr>
        <w:t>te the authority to investigate alleged violations of those laws.  From time to time, we receive inquiries or requests for additional information under these laws from the offices of Attorneys General or other government officials in connection with the sa</w:t>
      </w:r>
      <w:r>
        <w:rPr>
          <w:sz w:val="20"/>
          <w:szCs w:val="20"/>
        </w:rPr>
        <w:t>le of our products to residential customers.  Based on information to date, and because our policies and business practices are designed to comply with all applicable laws, we do not believe that the costs or liabilities associated with such inquiries or r</w:t>
      </w:r>
      <w:r>
        <w:rPr>
          <w:sz w:val="20"/>
          <w:szCs w:val="20"/>
        </w:rPr>
        <w:t>equests will result in a material adverse effect on our financial condition or results of operations; however, there can be no assurance that our financial condition or results of operations may not be materially and adversely affected as a result of curre</w:t>
      </w:r>
      <w:r>
        <w:rPr>
          <w:sz w:val="20"/>
          <w:szCs w:val="20"/>
        </w:rPr>
        <w:t>nt or future government investigations or civil litigation derived therefrom.</w:t>
      </w:r>
    </w:p>
    <w:p w:rsidR="00000000" w:rsidRDefault="00827839">
      <w:pPr>
        <w:pStyle w:val="a3"/>
        <w:spacing w:before="240" w:beforeAutospacing="0" w:after="0" w:afterAutospacing="0"/>
        <w:ind w:firstLine="556"/>
        <w:jc w:val="both"/>
        <w:rPr>
          <w:sz w:val="20"/>
          <w:szCs w:val="20"/>
        </w:rPr>
      </w:pPr>
      <w:r>
        <w:rPr>
          <w:sz w:val="20"/>
          <w:szCs w:val="20"/>
        </w:rPr>
        <w:t xml:space="preserve">See the Risk Factor entitled “The ability of AES to acquire and retain retail natural gas and electricity customers is highly competitive, price sensitive and may be impacted by </w:t>
      </w:r>
      <w:r>
        <w:rPr>
          <w:sz w:val="20"/>
          <w:szCs w:val="20"/>
        </w:rPr>
        <w:t>changes in state regulations” for a description of certain regulatory and litigation impacts on our AES business.  </w:t>
      </w:r>
    </w:p>
    <w:p w:rsidR="00000000" w:rsidRDefault="00827839">
      <w:pPr>
        <w:pStyle w:val="a3"/>
        <w:spacing w:before="360" w:beforeAutospacing="0" w:after="0" w:afterAutospacing="0"/>
        <w:jc w:val="both"/>
        <w:rPr>
          <w:b/>
          <w:bCs/>
          <w:sz w:val="20"/>
          <w:szCs w:val="20"/>
        </w:rPr>
      </w:pPr>
      <w:r>
        <w:rPr>
          <w:b/>
          <w:bCs/>
          <w:sz w:val="20"/>
          <w:szCs w:val="20"/>
        </w:rPr>
        <w:t>Employees</w:t>
      </w:r>
    </w:p>
    <w:p w:rsidR="00000000" w:rsidRDefault="00827839">
      <w:pPr>
        <w:pStyle w:val="a3"/>
        <w:spacing w:before="120" w:beforeAutospacing="0" w:after="0" w:afterAutospacing="0"/>
        <w:ind w:firstLine="556"/>
        <w:jc w:val="both"/>
        <w:rPr>
          <w:sz w:val="20"/>
          <w:szCs w:val="20"/>
        </w:rPr>
      </w:pPr>
      <w:r>
        <w:rPr>
          <w:sz w:val="20"/>
          <w:szCs w:val="20"/>
        </w:rPr>
        <w:t>As of September 28, 2019, we had 3,369 full time employees, of whom 624 were engaged in general and administrative activities (including fleet maintenance), 32 were engaged in transportation and product supply activities and 2,713 were customer service cen</w:t>
      </w:r>
      <w:r>
        <w:rPr>
          <w:sz w:val="20"/>
          <w:szCs w:val="20"/>
        </w:rPr>
        <w:t>ter employees, as well as 125 part time employees.  As of September 28, 2019, 72 of our employees were represented by 8 different local chapters of labor unions.  We believe that our relations with both our union and non</w:t>
      </w:r>
      <w:r>
        <w:rPr>
          <w:sz w:val="20"/>
          <w:szCs w:val="20"/>
        </w:rPr>
        <w:noBreakHyphen/>
        <w:t>union employees are satisfactory.  </w:t>
      </w:r>
      <w:r>
        <w:rPr>
          <w:sz w:val="20"/>
          <w:szCs w:val="20"/>
        </w:rPr>
        <w:t>In addition, we hire temporary workers to meet peak seasonal demands.</w:t>
      </w:r>
    </w:p>
    <w:p w:rsidR="00000000" w:rsidRDefault="00827839">
      <w:pPr>
        <w:pStyle w:val="a3"/>
        <w:spacing w:before="0" w:beforeAutospacing="0" w:after="0" w:afterAutospacing="0"/>
        <w:jc w:val="both"/>
        <w:rPr>
          <w:sz w:val="18"/>
          <w:szCs w:val="18"/>
        </w:rPr>
      </w:pPr>
      <w:r>
        <w:rPr>
          <w:sz w:val="18"/>
          <w:szCs w:val="18"/>
        </w:rPr>
        <w:t> </w:t>
      </w:r>
    </w:p>
    <w:p w:rsidR="00000000" w:rsidRDefault="00827839">
      <w:pPr>
        <w:pStyle w:val="a3"/>
        <w:spacing w:before="0" w:beforeAutospacing="0" w:after="0" w:afterAutospacing="0"/>
        <w:jc w:val="both"/>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w:t>
      </w:r>
    </w:p>
    <w:p w:rsidR="00000000" w:rsidRDefault="00827839">
      <w:pPr>
        <w:rPr>
          <w:rFonts w:eastAsia="Times New Roman"/>
        </w:rPr>
      </w:pPr>
      <w:r>
        <w:rPr>
          <w:rFonts w:eastAsia="Times New Roman"/>
        </w:rPr>
        <w:pict>
          <v:rect id="_x0000_i103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415831984"/>
        </w:trPr>
        <w:tc>
          <w:tcPr>
            <w:tcW w:w="513" w:type="pct"/>
            <w:noWrap/>
            <w:hideMark/>
          </w:tcPr>
          <w:p w:rsidR="00000000" w:rsidRDefault="00827839">
            <w:pPr>
              <w:pStyle w:val="a3"/>
              <w:spacing w:before="0" w:beforeAutospacing="0" w:after="0" w:afterAutospacing="0"/>
              <w:rPr>
                <w:b/>
                <w:bCs/>
                <w:sz w:val="20"/>
                <w:szCs w:val="20"/>
              </w:rPr>
            </w:pPr>
            <w:r>
              <w:rPr>
                <w:b/>
                <w:bCs/>
                <w:sz w:val="20"/>
                <w:szCs w:val="20"/>
              </w:rPr>
              <w:t>ITEM 1A.</w:t>
            </w:r>
          </w:p>
        </w:tc>
        <w:tc>
          <w:tcPr>
            <w:tcW w:w="0" w:type="auto"/>
            <w:hideMark/>
          </w:tcPr>
          <w:p w:rsidR="00000000" w:rsidRDefault="00827839">
            <w:pPr>
              <w:pStyle w:val="a3"/>
              <w:spacing w:before="0" w:beforeAutospacing="0" w:after="0" w:afterAutospacing="0"/>
              <w:rPr>
                <w:b/>
                <w:bCs/>
                <w:sz w:val="20"/>
                <w:szCs w:val="20"/>
              </w:rPr>
            </w:pPr>
            <w:r>
              <w:rPr>
                <w:b/>
                <w:bCs/>
                <w:sz w:val="20"/>
                <w:szCs w:val="20"/>
              </w:rPr>
              <w:t>RISK FACTORS</w:t>
            </w:r>
          </w:p>
        </w:tc>
      </w:tr>
    </w:tbl>
    <w:p w:rsidR="00000000" w:rsidRDefault="00827839">
      <w:pPr>
        <w:pStyle w:val="a3"/>
        <w:spacing w:before="120" w:beforeAutospacing="0" w:after="0" w:afterAutospacing="0"/>
        <w:ind w:firstLine="556"/>
        <w:jc w:val="both"/>
        <w:rPr>
          <w:i/>
          <w:iCs/>
          <w:sz w:val="20"/>
          <w:szCs w:val="20"/>
        </w:rPr>
      </w:pPr>
      <w:r>
        <w:rPr>
          <w:i/>
          <w:iCs/>
          <w:sz w:val="20"/>
          <w:szCs w:val="20"/>
        </w:rPr>
        <w:t>The following is a cautionary discussion of the most signif</w:t>
      </w:r>
      <w:r>
        <w:rPr>
          <w:i/>
          <w:iCs/>
          <w:sz w:val="20"/>
          <w:szCs w:val="20"/>
        </w:rPr>
        <w:t>icant risks, uncertainties and assumptions that we believe are significant to our business and should be considered carefully in conjunction with all of the other information set forth in this Annual Report on Form 10-K. The risks described below are not a</w:t>
      </w:r>
      <w:r>
        <w:rPr>
          <w:i/>
          <w:iCs/>
          <w:sz w:val="20"/>
          <w:szCs w:val="20"/>
        </w:rPr>
        <w:t>n exhaustive list of all of the risks that we face and are not listed by order of priority or materiality. In addition to the factors discussed elsewhere in this Annual Report on Form 10-K, the factors described in this item could, individually or in the a</w:t>
      </w:r>
      <w:r>
        <w:rPr>
          <w:i/>
          <w:iCs/>
          <w:sz w:val="20"/>
          <w:szCs w:val="20"/>
        </w:rPr>
        <w:t>ggregate, cause our actual results to differ materially from those described in any forward-looking statements. Should unknown risks or uncertainties materialize or underlying assumptions prove inaccurate, actual results could materially differ from past r</w:t>
      </w:r>
      <w:r>
        <w:rPr>
          <w:i/>
          <w:iCs/>
          <w:sz w:val="20"/>
          <w:szCs w:val="20"/>
        </w:rPr>
        <w:t>esults and/or those anticipated, estimated or projected. Achievement of future results is subject to risks, uncertainties and potentially inaccurate assumptions. In this case, the trading price of our Common Units could decline and you might lose part or a</w:t>
      </w:r>
      <w:r>
        <w:rPr>
          <w:i/>
          <w:iCs/>
          <w:sz w:val="20"/>
          <w:szCs w:val="20"/>
        </w:rPr>
        <w:t>ll of the value in our Common Units.  Investing in our Common Units involves a high degree of risk. Past financial performance may not be a reliable indicator of future performance and historical trends should not be used to anticipate results or trends in</w:t>
      </w:r>
      <w:r>
        <w:rPr>
          <w:i/>
          <w:iCs/>
          <w:sz w:val="20"/>
          <w:szCs w:val="20"/>
        </w:rPr>
        <w:t xml:space="preserve"> future periods. You should carefully consider the specific risk factors set forth below as well as the other information contained or incorporated by reference in this Annual Report.  Some factors in this section are Forward-Looking Statements.  See “Disc</w:t>
      </w:r>
      <w:r>
        <w:rPr>
          <w:i/>
          <w:iCs/>
          <w:sz w:val="20"/>
          <w:szCs w:val="20"/>
        </w:rPr>
        <w:t>losure Regarding Forward-Looking Statements” above.</w:t>
      </w:r>
    </w:p>
    <w:p w:rsidR="00000000" w:rsidRDefault="00827839">
      <w:pPr>
        <w:pStyle w:val="a3"/>
        <w:spacing w:before="360" w:beforeAutospacing="0" w:after="0" w:afterAutospacing="0"/>
        <w:jc w:val="center"/>
        <w:rPr>
          <w:b/>
          <w:bCs/>
          <w:sz w:val="20"/>
          <w:szCs w:val="20"/>
        </w:rPr>
      </w:pPr>
      <w:r>
        <w:rPr>
          <w:b/>
          <w:bCs/>
          <w:sz w:val="20"/>
          <w:szCs w:val="20"/>
          <w:u w:val="single"/>
        </w:rPr>
        <w:t>RISKS RELATED TO OUR BUSINESS</w:t>
      </w:r>
    </w:p>
    <w:p w:rsidR="00000000" w:rsidRDefault="00827839">
      <w:pPr>
        <w:pStyle w:val="a3"/>
        <w:spacing w:before="240" w:beforeAutospacing="0" w:after="0" w:afterAutospacing="0"/>
        <w:jc w:val="both"/>
        <w:rPr>
          <w:b/>
          <w:bCs/>
          <w:i/>
          <w:iCs/>
          <w:sz w:val="20"/>
          <w:szCs w:val="20"/>
        </w:rPr>
      </w:pPr>
      <w:r>
        <w:rPr>
          <w:b/>
          <w:bCs/>
          <w:i/>
          <w:iCs/>
          <w:sz w:val="20"/>
          <w:szCs w:val="20"/>
        </w:rPr>
        <w:t>Because weather conditions may adversely affect demand for propane, fuel oil and other refined fuels and natural gas, our results of operations and financial condition are vulnerable to warm winters and natural disasters.</w:t>
      </w:r>
    </w:p>
    <w:p w:rsidR="00000000" w:rsidRDefault="00827839">
      <w:pPr>
        <w:pStyle w:val="a3"/>
        <w:spacing w:before="120" w:beforeAutospacing="0" w:after="0" w:afterAutospacing="0"/>
        <w:ind w:firstLine="556"/>
        <w:jc w:val="both"/>
        <w:rPr>
          <w:sz w:val="20"/>
          <w:szCs w:val="20"/>
        </w:rPr>
      </w:pPr>
      <w:r>
        <w:rPr>
          <w:sz w:val="20"/>
          <w:szCs w:val="20"/>
        </w:rPr>
        <w:t>Weather conditions have a significant impact on the demand for propane, fuel oil and other refined fuels and natural gas for both heating and agricultural purposes.  Many of our customers rely on propane, fuel oil or natural gas primarily as a heating sour</w:t>
      </w:r>
      <w:r>
        <w:rPr>
          <w:sz w:val="20"/>
          <w:szCs w:val="20"/>
        </w:rPr>
        <w:t>ce.  The volume of propane, fuel oil and natural gas sold is at its highest during the six-month peak heating season of October through March and is directly affected by the severity and length of the winter months. Typically, we sell approximately two-thi</w:t>
      </w:r>
      <w:r>
        <w:rPr>
          <w:sz w:val="20"/>
          <w:szCs w:val="20"/>
        </w:rPr>
        <w:t>rds of our retail propane volume and approximately three-fourths of our retail fuel oil volume during the peak heating season.  Weather conditions can vary substantially from year to year in the regions in which we operate, which could significantly impact</w:t>
      </w:r>
      <w:r>
        <w:rPr>
          <w:sz w:val="20"/>
          <w:szCs w:val="20"/>
        </w:rPr>
        <w:t xml:space="preserve"> the demand for our products and our financial performance and condition.  The agricultural demand for propane is also affected by the weather, as dry or warm weather during the harvest season may reduce the demand for propane used in some crop drying appl</w:t>
      </w:r>
      <w:r>
        <w:rPr>
          <w:sz w:val="20"/>
          <w:szCs w:val="20"/>
        </w:rPr>
        <w:t>ications for which we service.</w:t>
      </w:r>
    </w:p>
    <w:p w:rsidR="00000000" w:rsidRDefault="00827839">
      <w:pPr>
        <w:pStyle w:val="a3"/>
        <w:spacing w:before="240" w:beforeAutospacing="0" w:after="0" w:afterAutospacing="0"/>
        <w:ind w:firstLine="556"/>
        <w:jc w:val="both"/>
        <w:rPr>
          <w:sz w:val="20"/>
          <w:szCs w:val="20"/>
        </w:rPr>
      </w:pPr>
      <w:r>
        <w:rPr>
          <w:sz w:val="20"/>
          <w:szCs w:val="20"/>
        </w:rPr>
        <w:t>Actual weather conditions can vary substantially from year to year, significantly affecting our financial performance.  For example, average temperatures in our service territories were 6%, 7% and 15% warmer than normal for f</w:t>
      </w:r>
      <w:r>
        <w:rPr>
          <w:sz w:val="20"/>
          <w:szCs w:val="20"/>
        </w:rPr>
        <w:t>iscal 2019, fiscal 2018 and fiscal 2017, respectively, as measured by the number of heating degree days reported by the National Oceanic and Atmospheric Administration (“NOAA”).  Furthermore, variations in weather in one or more regions in which we operate</w:t>
      </w:r>
      <w:r>
        <w:rPr>
          <w:sz w:val="20"/>
          <w:szCs w:val="20"/>
        </w:rPr>
        <w:t xml:space="preserve"> can significantly affect the total volume of propane, fuel oil and other refined fuels and natural gas we sell and, consequently, our results of operations.  Variations in the weather in the northeast, where we have a greater concentration of propane acco</w:t>
      </w:r>
      <w:r>
        <w:rPr>
          <w:sz w:val="20"/>
          <w:szCs w:val="20"/>
        </w:rPr>
        <w:t xml:space="preserve">unts and substantially all of our fuel oil and natural gas operations, generally have a greater impact on our operations than variations in the weather in other regions.  We can give no assurance that the weather conditions in any quarter or year will not </w:t>
      </w:r>
      <w:r>
        <w:rPr>
          <w:sz w:val="20"/>
          <w:szCs w:val="20"/>
        </w:rPr>
        <w:t>have a material adverse effect on our operations, or that our available cash will be sufficient to pay principal and interest on our indebtedness and distributions to Unitholders.</w:t>
      </w:r>
    </w:p>
    <w:p w:rsidR="00000000" w:rsidRDefault="00827839">
      <w:pPr>
        <w:pStyle w:val="a3"/>
        <w:spacing w:before="240" w:beforeAutospacing="0" w:after="0" w:afterAutospacing="0"/>
        <w:ind w:firstLine="556"/>
        <w:jc w:val="both"/>
        <w:rPr>
          <w:sz w:val="20"/>
          <w:szCs w:val="20"/>
        </w:rPr>
      </w:pPr>
      <w:r>
        <w:rPr>
          <w:sz w:val="20"/>
          <w:szCs w:val="20"/>
        </w:rPr>
        <w:t>If the frequency or magnitude of significant weather conditions or natural d</w:t>
      </w:r>
      <w:r>
        <w:rPr>
          <w:sz w:val="20"/>
          <w:szCs w:val="20"/>
        </w:rPr>
        <w:t>isasters such as hurricanes or earthquakes increase, our results of operations and our financial performance could be negatively impacted by the extent of damage to our facilities or to our customers’ residential homes and business structures or of disrupt</w:t>
      </w:r>
      <w:r>
        <w:rPr>
          <w:sz w:val="20"/>
          <w:szCs w:val="20"/>
        </w:rPr>
        <w:t>ion to the supply of the products we sell.</w:t>
      </w:r>
    </w:p>
    <w:p w:rsidR="00000000" w:rsidRDefault="00827839">
      <w:pPr>
        <w:pStyle w:val="a3"/>
        <w:spacing w:before="360" w:beforeAutospacing="0" w:after="0" w:afterAutospacing="0"/>
        <w:jc w:val="both"/>
        <w:rPr>
          <w:b/>
          <w:bCs/>
          <w:i/>
          <w:iCs/>
          <w:sz w:val="20"/>
          <w:szCs w:val="20"/>
        </w:rPr>
      </w:pPr>
      <w:r>
        <w:rPr>
          <w:b/>
          <w:bCs/>
          <w:i/>
          <w:iCs/>
          <w:sz w:val="20"/>
          <w:szCs w:val="20"/>
        </w:rPr>
        <w:t>Sudden increases in our costs to acquire and transport propane, fuel oil and other refined fuels and natural gas due to, among other things, our inability to obtain adequate supplies from our usual suppliers, or o</w:t>
      </w:r>
      <w:r>
        <w:rPr>
          <w:b/>
          <w:bCs/>
          <w:i/>
          <w:iCs/>
          <w:sz w:val="20"/>
          <w:szCs w:val="20"/>
        </w:rPr>
        <w:t>ur inability to obtain adequate supplies of such products from alternative suppliers, may adversely affect our operating results.</w:t>
      </w:r>
    </w:p>
    <w:p w:rsidR="00000000" w:rsidRDefault="00827839">
      <w:pPr>
        <w:pStyle w:val="a3"/>
        <w:spacing w:before="120" w:beforeAutospacing="0" w:after="0" w:afterAutospacing="0"/>
        <w:ind w:firstLine="556"/>
        <w:jc w:val="both"/>
        <w:rPr>
          <w:sz w:val="20"/>
          <w:szCs w:val="20"/>
        </w:rPr>
      </w:pPr>
      <w:r>
        <w:rPr>
          <w:sz w:val="20"/>
          <w:szCs w:val="20"/>
        </w:rPr>
        <w:t>Our profitability in the retail propane, fuel oil and refined fuels and natural gas businesses is largely dependent on the dif</w:t>
      </w:r>
      <w:r>
        <w:rPr>
          <w:sz w:val="20"/>
          <w:szCs w:val="20"/>
        </w:rPr>
        <w:t>ference between our costs to acquire and transport product and retail sales price.  Propane, fuel oil and other refined fuels and natural gas are commodities, and the availability of those products, and the unit prices we need to pay to acquire and transpo</w:t>
      </w:r>
      <w:r>
        <w:rPr>
          <w:sz w:val="20"/>
          <w:szCs w:val="20"/>
        </w:rPr>
        <w:t xml:space="preserve">rt those products, are subject to volatile changes in response to changes in production and supply or other market conditions over which we have no control, including the severity and length of winter weather, natural disasters, the price and availability </w:t>
      </w:r>
      <w:r>
        <w:rPr>
          <w:sz w:val="20"/>
          <w:szCs w:val="20"/>
        </w:rPr>
        <w:t xml:space="preserve">of competing alternative energy sources, competing demands for the products (including for export) and infrastructure (including highway, rail, pipeline and refinery) constraints.  Our supply of these products from our usual sources may be interrupted due </w:t>
      </w:r>
      <w:r>
        <w:rPr>
          <w:sz w:val="20"/>
          <w:szCs w:val="20"/>
        </w:rPr>
        <w:t>to these and other reasons that are beyond our control, necessitating the transportation of product, if it is available at all, by truck, rail car or other means from other suppliers in other areas, with resulting delay in receipt and delivery to customers</w:t>
      </w:r>
      <w:r>
        <w:rPr>
          <w:sz w:val="20"/>
          <w:szCs w:val="20"/>
        </w:rPr>
        <w:t xml:space="preserve"> and increased expense.  As a result, our costs of acquiring and transporting alternative supplies of these products to our facilities may be materially higher at least on a short-term basis.  Because we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9</w:t>
      </w:r>
    </w:p>
    <w:p w:rsidR="00000000" w:rsidRDefault="00827839">
      <w:pPr>
        <w:rPr>
          <w:rFonts w:eastAsia="Times New Roman"/>
        </w:rPr>
      </w:pPr>
      <w:r>
        <w:rPr>
          <w:rFonts w:eastAsia="Times New Roman"/>
        </w:rPr>
        <w:pict>
          <v:rect id="_x0000_i103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20" w:beforeAutospacing="0" w:after="0" w:afterAutospacing="0"/>
        <w:jc w:val="both"/>
        <w:rPr>
          <w:sz w:val="20"/>
          <w:szCs w:val="20"/>
        </w:rPr>
      </w:pPr>
      <w:r>
        <w:rPr>
          <w:sz w:val="20"/>
          <w:szCs w:val="20"/>
        </w:rPr>
        <w:t>may not be able to pass on to our customers immediately, or in full, all increases in our wholesale and transportation costs of propane, fuel oil and other refined fuels and natural gas, these increases cou</w:t>
      </w:r>
      <w:r>
        <w:rPr>
          <w:sz w:val="20"/>
          <w:szCs w:val="20"/>
        </w:rPr>
        <w:t>ld reduce our profitability.  In addition, our inability to obtain sufficient supplies of propane, fuel oil and other refined fuels and natural gas in order for us to fully meet our customer demand for these products on a timely basis could adversely affec</w:t>
      </w:r>
      <w:r>
        <w:rPr>
          <w:sz w:val="20"/>
          <w:szCs w:val="20"/>
        </w:rPr>
        <w:t>t our revenues, and consequently our profitability.</w:t>
      </w:r>
    </w:p>
    <w:p w:rsidR="00000000" w:rsidRDefault="00827839">
      <w:pPr>
        <w:pStyle w:val="a3"/>
        <w:spacing w:before="240" w:beforeAutospacing="0" w:after="0" w:afterAutospacing="0"/>
        <w:ind w:firstLine="556"/>
        <w:jc w:val="both"/>
        <w:rPr>
          <w:sz w:val="20"/>
          <w:szCs w:val="20"/>
        </w:rPr>
      </w:pPr>
      <w:r>
        <w:rPr>
          <w:sz w:val="20"/>
          <w:szCs w:val="20"/>
        </w:rPr>
        <w:t>In general, product supply contracts permit suppliers to charge posted prices at the time of delivery or the current prices established at major supply points, including Mont Belvieu, Texas, and Conway, K</w:t>
      </w:r>
      <w:r>
        <w:rPr>
          <w:sz w:val="20"/>
          <w:szCs w:val="20"/>
        </w:rPr>
        <w:t>ansas.  We engage in transactions to manage the price risk associated with certain of our product costs from time to time in an attempt to reduce cost volatility and to help ensure availability of product.  We can give no assurance that future increases in</w:t>
      </w:r>
      <w:r>
        <w:rPr>
          <w:sz w:val="20"/>
          <w:szCs w:val="20"/>
        </w:rPr>
        <w:t xml:space="preserve"> our costs to acquire and transport propane, fuel oil and natural gas will not have a material adverse effect on our profitability and cash flow, or that our available cash will be sufficient to pay principal and interest on our indebtedness and distributi</w:t>
      </w:r>
      <w:r>
        <w:rPr>
          <w:sz w:val="20"/>
          <w:szCs w:val="20"/>
        </w:rPr>
        <w:t>ons to our Unitholders.</w:t>
      </w:r>
    </w:p>
    <w:p w:rsidR="00000000" w:rsidRDefault="00827839">
      <w:pPr>
        <w:pStyle w:val="a3"/>
        <w:spacing w:before="360" w:beforeAutospacing="0" w:after="0" w:afterAutospacing="0"/>
        <w:jc w:val="both"/>
        <w:rPr>
          <w:b/>
          <w:bCs/>
          <w:i/>
          <w:iCs/>
          <w:sz w:val="20"/>
          <w:szCs w:val="20"/>
        </w:rPr>
      </w:pPr>
      <w:r>
        <w:rPr>
          <w:b/>
          <w:bCs/>
          <w:i/>
          <w:iCs/>
          <w:sz w:val="20"/>
          <w:szCs w:val="20"/>
        </w:rPr>
        <w:t>High prices for propane, fuel oil and other refined fuels and natural gas can lead to customer conservation, resulting in reduced demand for our product.</w:t>
      </w:r>
    </w:p>
    <w:p w:rsidR="00000000" w:rsidRDefault="00827839">
      <w:pPr>
        <w:pStyle w:val="a3"/>
        <w:spacing w:before="120" w:beforeAutospacing="0" w:after="0" w:afterAutospacing="0"/>
        <w:ind w:firstLine="556"/>
        <w:jc w:val="both"/>
        <w:rPr>
          <w:sz w:val="20"/>
          <w:szCs w:val="20"/>
        </w:rPr>
      </w:pPr>
      <w:r>
        <w:rPr>
          <w:sz w:val="20"/>
          <w:szCs w:val="20"/>
        </w:rPr>
        <w:t>Prices for propane, fuel oil and other refined fuels and natural gas are subje</w:t>
      </w:r>
      <w:r>
        <w:rPr>
          <w:sz w:val="20"/>
          <w:szCs w:val="20"/>
        </w:rPr>
        <w:t>ct to fluctuations in response to changes in wholesale prices and other market conditions beyond our control.  Therefore, our average retail sales prices can vary significantly within a heating season or from year to year as wholesale prices fluctuate with</w:t>
      </w:r>
      <w:r>
        <w:rPr>
          <w:sz w:val="20"/>
          <w:szCs w:val="20"/>
        </w:rPr>
        <w:t xml:space="preserve"> propane, fuel oil and natural gas commodity market conditions.  During periods with high product costs for propane, fuel oil and other refined fuels and natural gas, our selling prices generally increase.  High prices can lead to customer conservation, re</w:t>
      </w:r>
      <w:r>
        <w:rPr>
          <w:sz w:val="20"/>
          <w:szCs w:val="20"/>
        </w:rPr>
        <w:t>sulting in reduced demand for our products.</w:t>
      </w:r>
    </w:p>
    <w:p w:rsidR="00000000" w:rsidRDefault="00827839">
      <w:pPr>
        <w:pStyle w:val="a3"/>
        <w:spacing w:before="360" w:beforeAutospacing="0" w:after="0" w:afterAutospacing="0"/>
        <w:jc w:val="both"/>
        <w:rPr>
          <w:b/>
          <w:bCs/>
          <w:i/>
          <w:iCs/>
          <w:sz w:val="20"/>
          <w:szCs w:val="20"/>
        </w:rPr>
      </w:pPr>
      <w:r>
        <w:rPr>
          <w:b/>
          <w:bCs/>
          <w:i/>
          <w:iCs/>
          <w:sz w:val="20"/>
          <w:szCs w:val="20"/>
        </w:rPr>
        <w:t>Because of the highly competitive nature of the retail propane and fuel oil businesses, we may not be able to retain existing customers or acquire new customers, which could have an adverse impact on our operatin</w:t>
      </w:r>
      <w:r>
        <w:rPr>
          <w:b/>
          <w:bCs/>
          <w:i/>
          <w:iCs/>
          <w:sz w:val="20"/>
          <w:szCs w:val="20"/>
        </w:rPr>
        <w:t>g results and financial condition.</w:t>
      </w:r>
    </w:p>
    <w:p w:rsidR="00000000" w:rsidRDefault="00827839">
      <w:pPr>
        <w:pStyle w:val="a3"/>
        <w:spacing w:before="120" w:beforeAutospacing="0" w:after="0" w:afterAutospacing="0"/>
        <w:ind w:firstLine="556"/>
        <w:jc w:val="both"/>
        <w:rPr>
          <w:sz w:val="20"/>
          <w:szCs w:val="20"/>
        </w:rPr>
      </w:pPr>
      <w:r>
        <w:rPr>
          <w:sz w:val="20"/>
          <w:szCs w:val="20"/>
        </w:rPr>
        <w:t>The retail propane and fuel oil industries are mature and highly competitive.  We expect overall demand for propane and fuel oil to be relatively flat to moderately declining over the next several years.  Year-to-year ind</w:t>
      </w:r>
      <w:r>
        <w:rPr>
          <w:sz w:val="20"/>
          <w:szCs w:val="20"/>
        </w:rPr>
        <w:t>ustry volumes of propane and fuel oil are expected to be primarily affected by weather patterns and from competition intensifying during warmer than normal winters, as well as from the impact of a sustained higher commodity price environment on customer co</w:t>
      </w:r>
      <w:r>
        <w:rPr>
          <w:sz w:val="20"/>
          <w:szCs w:val="20"/>
        </w:rPr>
        <w:t>nservation and the impact of perceived uncertainty about the economy on customer buying habits.</w:t>
      </w:r>
    </w:p>
    <w:p w:rsidR="00000000" w:rsidRDefault="00827839">
      <w:pPr>
        <w:pStyle w:val="a3"/>
        <w:spacing w:before="240" w:beforeAutospacing="0" w:after="0" w:afterAutospacing="0"/>
        <w:ind w:firstLine="556"/>
        <w:jc w:val="both"/>
        <w:rPr>
          <w:sz w:val="20"/>
          <w:szCs w:val="20"/>
        </w:rPr>
      </w:pPr>
      <w:r>
        <w:rPr>
          <w:sz w:val="20"/>
          <w:szCs w:val="20"/>
        </w:rPr>
        <w:t>Propane and fuel oil compete with electricity, natural gas and other existing and future sources of energy, some of which are, or may in the future be, less cos</w:t>
      </w:r>
      <w:r>
        <w:rPr>
          <w:sz w:val="20"/>
          <w:szCs w:val="20"/>
        </w:rPr>
        <w:t>tly for equivalent energy value. For example, natural gas currently is a significantly less expensive source of energy than propane and fuel oil on an equivalent BTU basis.  As a result, except for some industrial and commercial applications, propane and f</w:t>
      </w:r>
      <w:r>
        <w:rPr>
          <w:sz w:val="20"/>
          <w:szCs w:val="20"/>
        </w:rPr>
        <w:t>uel oil are generally not economically competitive with natural gas in areas where natural gas pipelines already exist. The gradual expansion of the nation’s natural gas distribution systems has made natural gas available in many areas that previously depe</w:t>
      </w:r>
      <w:r>
        <w:rPr>
          <w:sz w:val="20"/>
          <w:szCs w:val="20"/>
        </w:rPr>
        <w:t>nded upon propane or fuel oil. We expect this trend to continue, and, with the increasingly abundant supply of natural gas from domestic sources, perhaps accelerate.  Propane and fuel oil compete to a lesser extent with each other due to the cost of conver</w:t>
      </w:r>
      <w:r>
        <w:rPr>
          <w:sz w:val="20"/>
          <w:szCs w:val="20"/>
        </w:rPr>
        <w:t>ting from one source to the other.</w:t>
      </w:r>
    </w:p>
    <w:p w:rsidR="00000000" w:rsidRDefault="00827839">
      <w:pPr>
        <w:pStyle w:val="a3"/>
        <w:spacing w:before="240" w:beforeAutospacing="0" w:after="0" w:afterAutospacing="0"/>
        <w:ind w:firstLine="556"/>
        <w:jc w:val="both"/>
        <w:rPr>
          <w:sz w:val="20"/>
          <w:szCs w:val="20"/>
        </w:rPr>
      </w:pPr>
      <w:r>
        <w:rPr>
          <w:sz w:val="20"/>
          <w:szCs w:val="20"/>
        </w:rPr>
        <w:t xml:space="preserve">In addition to competing with other sources of energy, our propane and fuel oil businesses compete with other distributors of those respective products principally on the basis of price, service and availability. Competition in the retail propane business </w:t>
      </w:r>
      <w:r>
        <w:rPr>
          <w:sz w:val="20"/>
          <w:szCs w:val="20"/>
        </w:rPr>
        <w:t>is highly fragmented and generally occurs on a local basis with other large full-service multi-state propane marketers, thousands of smaller local independent marketers and farm cooperatives. Our fuel oil business competes with fuel oil distributors offeri</w:t>
      </w:r>
      <w:r>
        <w:rPr>
          <w:sz w:val="20"/>
          <w:szCs w:val="20"/>
        </w:rPr>
        <w:t>ng a broad range of services and prices, from full service distributors to those offering delivery only. In addition, our existing fuel oil customers, unlike our existing propane customers, generally own their own tanks, which can result in intensified com</w:t>
      </w:r>
      <w:r>
        <w:rPr>
          <w:sz w:val="20"/>
          <w:szCs w:val="20"/>
        </w:rPr>
        <w:t>petition for these customers.</w:t>
      </w:r>
    </w:p>
    <w:p w:rsidR="00000000" w:rsidRDefault="00827839">
      <w:pPr>
        <w:pStyle w:val="a3"/>
        <w:spacing w:before="240" w:beforeAutospacing="0" w:after="0" w:afterAutospacing="0"/>
        <w:ind w:firstLine="556"/>
        <w:jc w:val="both"/>
        <w:rPr>
          <w:sz w:val="20"/>
          <w:szCs w:val="20"/>
        </w:rPr>
      </w:pPr>
      <w:r>
        <w:rPr>
          <w:sz w:val="20"/>
          <w:szCs w:val="20"/>
        </w:rPr>
        <w:t>As a result of the highly competitive nature of the retail propane and fuel oil businesses, our growth within these industries depends on our ability to acquire other retail distributors, open new customer service centers, add</w:t>
      </w:r>
      <w:r>
        <w:rPr>
          <w:sz w:val="20"/>
          <w:szCs w:val="20"/>
        </w:rPr>
        <w:t xml:space="preserve"> new customers and retain existing customers.  We can give no assurance that we will be able to acquire other retail distributors, add new customers and retain existing customers.</w:t>
      </w:r>
    </w:p>
    <w:p w:rsidR="00000000" w:rsidRDefault="00827839">
      <w:pPr>
        <w:pStyle w:val="a3"/>
        <w:spacing w:before="360" w:beforeAutospacing="0" w:after="0" w:afterAutospacing="0"/>
        <w:jc w:val="both"/>
        <w:rPr>
          <w:b/>
          <w:bCs/>
          <w:i/>
          <w:iCs/>
          <w:sz w:val="20"/>
          <w:szCs w:val="20"/>
        </w:rPr>
      </w:pPr>
      <w:r>
        <w:rPr>
          <w:b/>
          <w:bCs/>
          <w:i/>
          <w:iCs/>
          <w:sz w:val="20"/>
          <w:szCs w:val="20"/>
        </w:rPr>
        <w:t>Energy efficiency, general economic conditions and technological advances ha</w:t>
      </w:r>
      <w:r>
        <w:rPr>
          <w:b/>
          <w:bCs/>
          <w:i/>
          <w:iCs/>
          <w:sz w:val="20"/>
          <w:szCs w:val="20"/>
        </w:rPr>
        <w:t>ve affected and may continue to affect demand for propane and fuel oil by our retail customers.</w:t>
      </w:r>
    </w:p>
    <w:p w:rsidR="00000000" w:rsidRDefault="00827839">
      <w:pPr>
        <w:pStyle w:val="a3"/>
        <w:spacing w:before="120" w:beforeAutospacing="0" w:after="0" w:afterAutospacing="0"/>
        <w:ind w:firstLine="556"/>
        <w:jc w:val="both"/>
        <w:rPr>
          <w:sz w:val="20"/>
          <w:szCs w:val="20"/>
        </w:rPr>
      </w:pPr>
      <w:r>
        <w:rPr>
          <w:sz w:val="20"/>
          <w:szCs w:val="20"/>
        </w:rPr>
        <w:t>The national trend toward increased conservation and technological advances, including installation of improved insulation and the development of more efficient</w:t>
      </w:r>
      <w:r>
        <w:rPr>
          <w:sz w:val="20"/>
          <w:szCs w:val="20"/>
        </w:rPr>
        <w:t xml:space="preserve"> furnaces and other heating devices, has adversely affected the demand for propane and fuel oil by our retail customers which, in turn, has resulted in lower sales volumes to our customers. In addition, perceived uncertainty about the economy may lead to a</w:t>
      </w:r>
      <w:r>
        <w:rPr>
          <w:sz w:val="20"/>
          <w:szCs w:val="20"/>
        </w:rPr>
        <w:t xml:space="preserve">dditional conservation by retail customers seeking to further reduce their heating costs, particularly during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10</w:t>
      </w:r>
    </w:p>
    <w:p w:rsidR="00000000" w:rsidRDefault="00827839">
      <w:pPr>
        <w:rPr>
          <w:rFonts w:eastAsia="Times New Roman"/>
        </w:rPr>
      </w:pPr>
      <w:r>
        <w:rPr>
          <w:rFonts w:eastAsia="Times New Roman"/>
        </w:rPr>
        <w:pict>
          <v:rect id="_x0000_i103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20" w:beforeAutospacing="0" w:after="0" w:afterAutospacing="0"/>
        <w:jc w:val="both"/>
        <w:rPr>
          <w:sz w:val="20"/>
          <w:szCs w:val="20"/>
        </w:rPr>
      </w:pPr>
      <w:r>
        <w:rPr>
          <w:sz w:val="20"/>
          <w:szCs w:val="20"/>
        </w:rPr>
        <w:t>periods of sustained higher commodity prices</w:t>
      </w:r>
      <w:r>
        <w:rPr>
          <w:sz w:val="20"/>
          <w:szCs w:val="20"/>
        </w:rPr>
        <w:t>. Future technological advances in heating, conservation and energy generation and continued economic weakness may adversely affect our volumes sold, which, in turn, may adversely affect our financial condition and results of operations.</w:t>
      </w:r>
    </w:p>
    <w:p w:rsidR="00000000" w:rsidRDefault="00827839">
      <w:pPr>
        <w:pStyle w:val="a3"/>
        <w:spacing w:before="360" w:beforeAutospacing="0" w:after="0" w:afterAutospacing="0"/>
        <w:jc w:val="both"/>
        <w:rPr>
          <w:b/>
          <w:bCs/>
          <w:i/>
          <w:iCs/>
          <w:sz w:val="20"/>
          <w:szCs w:val="20"/>
        </w:rPr>
      </w:pPr>
      <w:r>
        <w:rPr>
          <w:b/>
          <w:bCs/>
          <w:i/>
          <w:iCs/>
          <w:sz w:val="20"/>
          <w:szCs w:val="20"/>
        </w:rPr>
        <w:t>Current conditions</w:t>
      </w:r>
      <w:r>
        <w:rPr>
          <w:b/>
          <w:bCs/>
          <w:i/>
          <w:iCs/>
          <w:sz w:val="20"/>
          <w:szCs w:val="20"/>
        </w:rPr>
        <w:t xml:space="preserve"> in the global capital and credit markets, and general economic pressures, may adversely affect our financial position and results of operations.</w:t>
      </w:r>
    </w:p>
    <w:p w:rsidR="00000000" w:rsidRDefault="00827839">
      <w:pPr>
        <w:pStyle w:val="a3"/>
        <w:spacing w:before="120" w:beforeAutospacing="0" w:after="0" w:afterAutospacing="0"/>
        <w:ind w:firstLine="556"/>
        <w:jc w:val="both"/>
        <w:rPr>
          <w:sz w:val="20"/>
          <w:szCs w:val="20"/>
        </w:rPr>
      </w:pPr>
      <w:r>
        <w:rPr>
          <w:sz w:val="20"/>
          <w:szCs w:val="20"/>
        </w:rPr>
        <w:t>Our business and operating results are materially affected by worldwide economic conditions. Current condition</w:t>
      </w:r>
      <w:r>
        <w:rPr>
          <w:sz w:val="20"/>
          <w:szCs w:val="20"/>
        </w:rPr>
        <w:t>s in the global capital and credit markets and general economic pressures have led to wavering consumer and business confidence and increased market volatility, which have affected business activity generally. This situation, especially when coupled with i</w:t>
      </w:r>
      <w:r>
        <w:rPr>
          <w:sz w:val="20"/>
          <w:szCs w:val="20"/>
        </w:rPr>
        <w:t xml:space="preserve">ncreasing energy prices, may cause our customers to experience cash flow shortages which in turn may lead to delayed or cancelled plans to purchase our products, and affect the ability of our customers to pay for our products. In addition, any disruptions </w:t>
      </w:r>
      <w:r>
        <w:rPr>
          <w:sz w:val="20"/>
          <w:szCs w:val="20"/>
        </w:rPr>
        <w:t>in the U.S. residential mortgage market (as a result of changes in tax laws or otherwise) and the rate of mortgage foreclosures may adversely affect retail customer demand for our products (in particular, products used for home heating and home comfort equ</w:t>
      </w:r>
      <w:r>
        <w:rPr>
          <w:sz w:val="20"/>
          <w:szCs w:val="20"/>
        </w:rPr>
        <w:t>ipment) and our business and results of operations.</w:t>
      </w:r>
    </w:p>
    <w:p w:rsidR="00000000" w:rsidRDefault="00827839">
      <w:pPr>
        <w:pStyle w:val="a3"/>
        <w:spacing w:before="360" w:beforeAutospacing="0" w:after="0" w:afterAutospacing="0"/>
        <w:jc w:val="both"/>
        <w:rPr>
          <w:b/>
          <w:bCs/>
          <w:i/>
          <w:iCs/>
          <w:sz w:val="20"/>
          <w:szCs w:val="20"/>
        </w:rPr>
      </w:pPr>
      <w:r>
        <w:rPr>
          <w:b/>
          <w:bCs/>
          <w:i/>
          <w:iCs/>
          <w:sz w:val="20"/>
          <w:szCs w:val="20"/>
        </w:rPr>
        <w:t>The risk of terrorism, political unrest and the current hostilities in the Middle East or other energy producing regions may adversely affect the economy and the price and availability of propane, fuel oi</w:t>
      </w:r>
      <w:r>
        <w:rPr>
          <w:b/>
          <w:bCs/>
          <w:i/>
          <w:iCs/>
          <w:sz w:val="20"/>
          <w:szCs w:val="20"/>
        </w:rPr>
        <w:t>l and other refined fuels and natural gas.</w:t>
      </w:r>
    </w:p>
    <w:p w:rsidR="00000000" w:rsidRDefault="00827839">
      <w:pPr>
        <w:pStyle w:val="a3"/>
        <w:spacing w:before="120" w:beforeAutospacing="0" w:after="0" w:afterAutospacing="0"/>
        <w:ind w:firstLine="556"/>
        <w:jc w:val="both"/>
        <w:rPr>
          <w:sz w:val="20"/>
          <w:szCs w:val="20"/>
        </w:rPr>
      </w:pPr>
      <w:r>
        <w:rPr>
          <w:sz w:val="20"/>
          <w:szCs w:val="20"/>
        </w:rPr>
        <w:t>Terrorist attacks, political unrest and the current hostilities in the Middle East or other energy producing regions may adversely impact the price and availability of propane, fuel oil and other refined fuels and</w:t>
      </w:r>
      <w:r>
        <w:rPr>
          <w:sz w:val="20"/>
          <w:szCs w:val="20"/>
        </w:rPr>
        <w:t xml:space="preserve"> natural gas, as well as our results of operations, our ability to raise capital and our future growth. The impact that the foregoing may have on our industry in general, and on us in particular, is not known at this time. An act of terror could result in </w:t>
      </w:r>
      <w:r>
        <w:rPr>
          <w:sz w:val="20"/>
          <w:szCs w:val="20"/>
        </w:rPr>
        <w:t>disruptions of crude oil or natural gas supplies and markets (the sources of propane and fuel oil), and our infrastructure facilities could be direct or indirect targets. Terrorist activity may also hinder our ability to transport propane, fuel oil and oth</w:t>
      </w:r>
      <w:r>
        <w:rPr>
          <w:sz w:val="20"/>
          <w:szCs w:val="20"/>
        </w:rPr>
        <w:t>er refined fuels if our means of supply transportation, such as rail or pipeline, become damaged as a result of an attack. A lower level of economic activity could result in a decline in energy consumption, which could adversely impact our revenues or rest</w:t>
      </w:r>
      <w:r>
        <w:rPr>
          <w:sz w:val="20"/>
          <w:szCs w:val="20"/>
        </w:rPr>
        <w:t>rict our future growth. Instability in the financial markets as a result of terrorism could also affect our ability to raise capital.  Terrorist activity, political unrest and hostilities in the Middle East or other energy producing regions could likely le</w:t>
      </w:r>
      <w:r>
        <w:rPr>
          <w:sz w:val="20"/>
          <w:szCs w:val="20"/>
        </w:rPr>
        <w:t>ad to increased volatility in prices for propane, fuel oil and other refined fuels and natural gas. We have opted to purchase insurance coverage for terrorist acts within our property and casualty insurance programs, but we can give no assurance that our i</w:t>
      </w:r>
      <w:r>
        <w:rPr>
          <w:sz w:val="20"/>
          <w:szCs w:val="20"/>
        </w:rPr>
        <w:t>nsurance coverage will be adequate to fully compensate us for any losses to our business or property resulting from terrorist acts.</w:t>
      </w:r>
    </w:p>
    <w:p w:rsidR="00000000" w:rsidRDefault="00827839">
      <w:pPr>
        <w:pStyle w:val="a3"/>
        <w:spacing w:before="360" w:beforeAutospacing="0" w:after="0" w:afterAutospacing="0"/>
        <w:jc w:val="both"/>
        <w:rPr>
          <w:b/>
          <w:bCs/>
          <w:i/>
          <w:iCs/>
          <w:sz w:val="20"/>
          <w:szCs w:val="20"/>
        </w:rPr>
      </w:pPr>
      <w:r>
        <w:rPr>
          <w:b/>
          <w:bCs/>
          <w:i/>
          <w:iCs/>
          <w:sz w:val="20"/>
          <w:szCs w:val="20"/>
        </w:rPr>
        <w:t>Our financial condition and results of operations may be adversely affected by governmental regulation and associated enviro</w:t>
      </w:r>
      <w:r>
        <w:rPr>
          <w:b/>
          <w:bCs/>
          <w:i/>
          <w:iCs/>
          <w:sz w:val="20"/>
          <w:szCs w:val="20"/>
        </w:rPr>
        <w:t>nmental and health and safety costs.</w:t>
      </w:r>
    </w:p>
    <w:p w:rsidR="00000000" w:rsidRDefault="00827839">
      <w:pPr>
        <w:pStyle w:val="a3"/>
        <w:spacing w:before="120" w:beforeAutospacing="0" w:after="0" w:afterAutospacing="0"/>
        <w:ind w:firstLine="556"/>
        <w:jc w:val="both"/>
        <w:rPr>
          <w:sz w:val="20"/>
          <w:szCs w:val="20"/>
        </w:rPr>
      </w:pPr>
      <w:r>
        <w:rPr>
          <w:sz w:val="20"/>
          <w:szCs w:val="20"/>
        </w:rPr>
        <w:t>Our business is subject to a wide and ever increasing range of federal, state and local laws and regulations related to environmental, health and safety matters including those concerning, among other things, the invest</w:t>
      </w:r>
      <w:r>
        <w:rPr>
          <w:sz w:val="20"/>
          <w:szCs w:val="20"/>
        </w:rPr>
        <w:t xml:space="preserve">igation and remediation of contaminated soil, groundwater and other environmental sources, and the transportation of hazardous materials. These requirements are complex, changing and tend to become more stringent over time. In addition, we are required to </w:t>
      </w:r>
      <w:r>
        <w:rPr>
          <w:sz w:val="20"/>
          <w:szCs w:val="20"/>
        </w:rPr>
        <w:t>maintain various permits that are necessary to operate our facilities, some of which are material to our operations. There can be no assurance that we have been, or will be, at all times in complete compliance with all legal, regulatory and permitting requ</w:t>
      </w:r>
      <w:r>
        <w:rPr>
          <w:sz w:val="20"/>
          <w:szCs w:val="20"/>
        </w:rPr>
        <w:t>irements or that we will not incur significant costs in the future relating to such requirements. Violations could result in penalties, or the curtailment or cessation of operations.</w:t>
      </w:r>
    </w:p>
    <w:p w:rsidR="00000000" w:rsidRDefault="00827839">
      <w:pPr>
        <w:pStyle w:val="a3"/>
        <w:spacing w:before="240" w:beforeAutospacing="0" w:after="0" w:afterAutospacing="0"/>
        <w:ind w:firstLine="556"/>
        <w:jc w:val="both"/>
        <w:rPr>
          <w:sz w:val="20"/>
          <w:szCs w:val="20"/>
        </w:rPr>
      </w:pPr>
      <w:r>
        <w:rPr>
          <w:sz w:val="20"/>
          <w:szCs w:val="20"/>
        </w:rPr>
        <w:t>Moreover, currently unknown environmental issues, such as the discovery o</w:t>
      </w:r>
      <w:r>
        <w:rPr>
          <w:sz w:val="20"/>
          <w:szCs w:val="20"/>
        </w:rPr>
        <w:t>f contamination, could result in significant expenditures, including the need to comply with future changes to environmental laws and regulations or the interpretation or enforcement thereof. Such expenditures, if required, could have a material adverse ef</w:t>
      </w:r>
      <w:r>
        <w:rPr>
          <w:sz w:val="20"/>
          <w:szCs w:val="20"/>
        </w:rPr>
        <w:t>fect on our business, financial condition or results of operations.</w:t>
      </w:r>
    </w:p>
    <w:p w:rsidR="00000000" w:rsidRDefault="00827839">
      <w:pPr>
        <w:pStyle w:val="a3"/>
        <w:spacing w:before="360" w:beforeAutospacing="0" w:after="0" w:afterAutospacing="0"/>
        <w:jc w:val="both"/>
        <w:rPr>
          <w:b/>
          <w:bCs/>
          <w:i/>
          <w:iCs/>
          <w:sz w:val="20"/>
          <w:szCs w:val="20"/>
        </w:rPr>
      </w:pPr>
      <w:r>
        <w:rPr>
          <w:b/>
          <w:bCs/>
          <w:i/>
          <w:iCs/>
          <w:sz w:val="20"/>
          <w:szCs w:val="20"/>
        </w:rPr>
        <w:t>The ability of AES to acquire and retain retail natural gas and electricity customers is highly competitive, price sensitive and may be impacted by changes in state regulations.</w:t>
      </w:r>
    </w:p>
    <w:p w:rsidR="00000000" w:rsidRDefault="00827839">
      <w:pPr>
        <w:pStyle w:val="a3"/>
        <w:spacing w:before="120" w:beforeAutospacing="0" w:after="0" w:afterAutospacing="0"/>
        <w:ind w:firstLine="556"/>
        <w:jc w:val="both"/>
        <w:rPr>
          <w:sz w:val="20"/>
          <w:szCs w:val="20"/>
        </w:rPr>
      </w:pPr>
      <w:r>
        <w:rPr>
          <w:sz w:val="20"/>
          <w:szCs w:val="20"/>
        </w:rPr>
        <w:t>The deregu</w:t>
      </w:r>
      <w:r>
        <w:rPr>
          <w:sz w:val="20"/>
          <w:szCs w:val="20"/>
        </w:rPr>
        <w:t>lated retail natural gas and electricity industries in which AES participates are highly competitive.  New York has proposed major new regulation of these industries, and other states have changed business rules to provide further protections to consumers.</w:t>
      </w:r>
      <w:r>
        <w:rPr>
          <w:sz w:val="20"/>
          <w:szCs w:val="20"/>
        </w:rPr>
        <w:t>  </w:t>
      </w:r>
      <w:r>
        <w:rPr>
          <w:color w:val="000000"/>
          <w:sz w:val="20"/>
          <w:szCs w:val="20"/>
        </w:rPr>
        <w:t>An Order from the New York Public Service Commission (“NY PSC“) regarding low income consumers went into effect in 2018 and required that all energy service companies (“ESCOs”) stop serving low-income consumers. As a result, AES returned approximately 6,</w:t>
      </w:r>
      <w:r>
        <w:rPr>
          <w:color w:val="000000"/>
          <w:sz w:val="20"/>
          <w:szCs w:val="20"/>
        </w:rPr>
        <w:t>100 of our customers to local utility service. A second order issued by the NY PSC in 2016 attempted to impose rules that would have allowed the NY PSC to regulate ESCO pricing, which was subsequently challenged and struck down by the New York Supreme Cour</w:t>
      </w:r>
      <w:r>
        <w:rPr>
          <w:color w:val="000000"/>
          <w:sz w:val="20"/>
          <w:szCs w:val="20"/>
        </w:rPr>
        <w:t xml:space="preserve">t. On appeal, the New York State Court of Appeals issued a ruling in 2019 that held that the NY PSC cannot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11</w:t>
      </w:r>
    </w:p>
    <w:p w:rsidR="00000000" w:rsidRDefault="00827839">
      <w:pPr>
        <w:rPr>
          <w:rFonts w:eastAsia="Times New Roman"/>
        </w:rPr>
      </w:pPr>
      <w:r>
        <w:rPr>
          <w:rFonts w:eastAsia="Times New Roman"/>
        </w:rPr>
        <w:pict>
          <v:rect id="_x0000_i103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20" w:beforeAutospacing="0" w:after="0" w:afterAutospacing="0"/>
        <w:jc w:val="both"/>
        <w:rPr>
          <w:sz w:val="20"/>
          <w:szCs w:val="20"/>
        </w:rPr>
      </w:pPr>
      <w:r>
        <w:rPr>
          <w:color w:val="000000"/>
          <w:sz w:val="20"/>
          <w:szCs w:val="20"/>
        </w:rPr>
        <w:t>regulate ESCO pricing, but does have the ability to restrict an ESCO’s access to the utility distribution system if the NY PSC determines that an ESCO’s pricing</w:t>
      </w:r>
      <w:r>
        <w:rPr>
          <w:color w:val="000000"/>
          <w:sz w:val="20"/>
          <w:szCs w:val="20"/>
        </w:rPr>
        <w:t xml:space="preserve"> is not “just and reasonable.”  The NY PSC is continuing its rulemaking proceedings that it began in 2017 (after the initial 2016 rules were struck down) and we expect that finalized rules will be issued based on the 2019 Court of Appeals decision. </w:t>
      </w:r>
      <w:r>
        <w:rPr>
          <w:sz w:val="20"/>
          <w:szCs w:val="20"/>
        </w:rPr>
        <w:t>At this</w:t>
      </w:r>
      <w:r>
        <w:rPr>
          <w:sz w:val="20"/>
          <w:szCs w:val="20"/>
        </w:rPr>
        <w:t xml:space="preserve"> time, we are unable to predict the ultimate outcome of the rulemaking, or the impact of such eventual outcome on AES’ business, but it could impact the ability of AES to acquire and retain natural gas and electricity customers.  </w:t>
      </w:r>
    </w:p>
    <w:p w:rsidR="00000000" w:rsidRDefault="00827839">
      <w:pPr>
        <w:pStyle w:val="a3"/>
        <w:spacing w:before="240" w:beforeAutospacing="0" w:after="0" w:afterAutospacing="0"/>
        <w:ind w:firstLine="556"/>
        <w:jc w:val="both"/>
        <w:rPr>
          <w:sz w:val="20"/>
          <w:szCs w:val="20"/>
        </w:rPr>
      </w:pPr>
      <w:r>
        <w:rPr>
          <w:sz w:val="20"/>
          <w:szCs w:val="20"/>
        </w:rPr>
        <w:t>These industries have als</w:t>
      </w:r>
      <w:r>
        <w:rPr>
          <w:sz w:val="20"/>
          <w:szCs w:val="20"/>
        </w:rPr>
        <w:t xml:space="preserve">o seen an increase in the number of class action lawsuits brought against retailers and relating to their pricing policies, two such lawsuits were commenced against AES in 2017 and 2018, involving New York and Pennsylvania customers.  AES filed motions to </w:t>
      </w:r>
      <w:r>
        <w:rPr>
          <w:sz w:val="20"/>
          <w:szCs w:val="20"/>
        </w:rPr>
        <w:t>dismiss both actions on procedural and substantive grounds, and the federal district court in the Pennsylvania action granted AES’ motion in its entirety in September 2018.  </w:t>
      </w:r>
      <w:r>
        <w:rPr>
          <w:color w:val="000000"/>
          <w:sz w:val="20"/>
          <w:szCs w:val="20"/>
        </w:rPr>
        <w:t>The Pennsylvania court also denied Plaintiff’s motion to amend his complaint and r</w:t>
      </w:r>
      <w:r>
        <w:rPr>
          <w:color w:val="000000"/>
          <w:sz w:val="20"/>
          <w:szCs w:val="20"/>
        </w:rPr>
        <w:t>everse the dismissal order in November 2018.  </w:t>
      </w:r>
      <w:r>
        <w:rPr>
          <w:sz w:val="20"/>
          <w:szCs w:val="20"/>
        </w:rPr>
        <w:t>Plaintiff has filed an appeal of the dismissal of his complaint.  In the New York action, the federal district court granted AES’ dismissal motion in part in October 2018, but allowed plaintiff’s statutory cons</w:t>
      </w:r>
      <w:r>
        <w:rPr>
          <w:sz w:val="20"/>
          <w:szCs w:val="20"/>
        </w:rPr>
        <w:t>umer fraud and breach of contract causes of action to proceed.  Although AES believes the claims in both of these actions to be devoid of merit and intends to vigorously defend itself in both matters, we are unable to predict at this time the ultimate outc</w:t>
      </w:r>
      <w:r>
        <w:rPr>
          <w:sz w:val="20"/>
          <w:szCs w:val="20"/>
        </w:rPr>
        <w:t>ome of these two actions.  However, if these class action lawsuits were ultimately successful, they could have an adverse impact on our business and operations.</w:t>
      </w:r>
    </w:p>
    <w:p w:rsidR="00000000" w:rsidRDefault="00827839">
      <w:pPr>
        <w:pStyle w:val="a3"/>
        <w:spacing w:before="360" w:beforeAutospacing="0" w:after="0" w:afterAutospacing="0"/>
        <w:jc w:val="both"/>
        <w:rPr>
          <w:b/>
          <w:bCs/>
          <w:i/>
          <w:iCs/>
          <w:sz w:val="20"/>
          <w:szCs w:val="20"/>
        </w:rPr>
      </w:pPr>
      <w:r>
        <w:rPr>
          <w:b/>
          <w:bCs/>
          <w:i/>
          <w:iCs/>
          <w:sz w:val="20"/>
          <w:szCs w:val="20"/>
        </w:rPr>
        <w:t>Costs associated with lawsuits, investigations or increases in legal reserves that we establish</w:t>
      </w:r>
      <w:r>
        <w:rPr>
          <w:b/>
          <w:bCs/>
          <w:i/>
          <w:iCs/>
          <w:sz w:val="20"/>
          <w:szCs w:val="20"/>
        </w:rPr>
        <w:t xml:space="preserve"> based on our assessment of contingent liabilities could adversely affect our operating results to the extent not covered by insurance.</w:t>
      </w:r>
    </w:p>
    <w:p w:rsidR="00000000" w:rsidRDefault="00827839">
      <w:pPr>
        <w:pStyle w:val="a3"/>
        <w:spacing w:before="120" w:beforeAutospacing="0" w:after="0" w:afterAutospacing="0"/>
        <w:ind w:firstLine="556"/>
        <w:jc w:val="both"/>
        <w:rPr>
          <w:sz w:val="20"/>
          <w:szCs w:val="20"/>
        </w:rPr>
      </w:pPr>
      <w:r>
        <w:rPr>
          <w:sz w:val="20"/>
          <w:szCs w:val="20"/>
        </w:rPr>
        <w:t>Our operations expose us to various claims, lawsuits and other legal proceedings that arise in and outside of the ordina</w:t>
      </w:r>
      <w:r>
        <w:rPr>
          <w:sz w:val="20"/>
          <w:szCs w:val="20"/>
        </w:rPr>
        <w:t>ry course of our business. We may be subject to complaints and/or litigation involving our customers, employees and others with whom we conduct business, including claims for bodily injury, death and property damage related to operating hazards and risks n</w:t>
      </w:r>
      <w:r>
        <w:rPr>
          <w:sz w:val="20"/>
          <w:szCs w:val="20"/>
        </w:rPr>
        <w:t>ormally associated with handling, storing and delivering combustible liquids such as propane, fuel oil and other refined fuels or claims based on allegations of discrimination, wage and hourly pay disputes, and various other claims as a result of other asp</w:t>
      </w:r>
      <w:r>
        <w:rPr>
          <w:sz w:val="20"/>
          <w:szCs w:val="20"/>
        </w:rPr>
        <w:t>ects of our business.  We could be subject to substantial costs and/or adverse outcomes from such complaints or litigation, which could have a material adverse effect on our financial condition, cash flows or results of operations.</w:t>
      </w:r>
    </w:p>
    <w:p w:rsidR="00000000" w:rsidRDefault="00827839">
      <w:pPr>
        <w:pStyle w:val="a3"/>
        <w:spacing w:before="240" w:beforeAutospacing="0" w:after="0" w:afterAutospacing="0"/>
        <w:ind w:firstLine="556"/>
        <w:jc w:val="both"/>
        <w:rPr>
          <w:sz w:val="20"/>
          <w:szCs w:val="20"/>
        </w:rPr>
      </w:pPr>
      <w:r>
        <w:rPr>
          <w:sz w:val="20"/>
          <w:szCs w:val="20"/>
        </w:rPr>
        <w:t>From time to time, our P</w:t>
      </w:r>
      <w:r>
        <w:rPr>
          <w:sz w:val="20"/>
          <w:szCs w:val="20"/>
        </w:rPr>
        <w:t xml:space="preserve">artnership and/or other companies in the segments in which operate may be reviewed or investigated by government regulators, which could lead to tax assessments, enforcement actions, fines and penalties or the assertion of private litigation claims. It is </w:t>
      </w:r>
      <w:r>
        <w:rPr>
          <w:sz w:val="20"/>
          <w:szCs w:val="20"/>
        </w:rPr>
        <w:t>not possible to predict with certainty the outcome of claims, investigations and lawsuits, and we could in the future incur judgments, taxes, fines or penalties or enter into settlements of lawsuits or claims that could have an adverse impact on our financ</w:t>
      </w:r>
      <w:r>
        <w:rPr>
          <w:sz w:val="20"/>
          <w:szCs w:val="20"/>
        </w:rPr>
        <w:t>ial condition or results of operations.  We are self-insured for general and product, workers’ compensation and automobile liabilities up to predetermined amounts above which third-party insurance applies.  We cannot guarantee that our insurance will be ad</w:t>
      </w:r>
      <w:r>
        <w:rPr>
          <w:sz w:val="20"/>
          <w:szCs w:val="20"/>
        </w:rPr>
        <w:t>equate to protect us from all material expenses related to potential future claims for personal injury and property damage or that these levels of insurance will be available at economical prices, or that all legal matters that arise will be covered by our</w:t>
      </w:r>
      <w:r>
        <w:rPr>
          <w:sz w:val="20"/>
          <w:szCs w:val="20"/>
        </w:rPr>
        <w:t xml:space="preserve"> insurance programs.</w:t>
      </w:r>
    </w:p>
    <w:p w:rsidR="00000000" w:rsidRDefault="00827839">
      <w:pPr>
        <w:pStyle w:val="a3"/>
        <w:spacing w:before="240" w:beforeAutospacing="0" w:after="0" w:afterAutospacing="0"/>
        <w:ind w:firstLine="556"/>
        <w:jc w:val="both"/>
        <w:rPr>
          <w:sz w:val="20"/>
          <w:szCs w:val="20"/>
        </w:rPr>
      </w:pPr>
      <w:r>
        <w:rPr>
          <w:sz w:val="20"/>
          <w:szCs w:val="20"/>
        </w:rPr>
        <w:t>As required by U.S. generally accepted accounting principles (“GAAP”), we establish reserves based on our assessment of actual or potential loss contingencies, including contingencies related to legal claims asserted against us. Subseq</w:t>
      </w:r>
      <w:r>
        <w:rPr>
          <w:sz w:val="20"/>
          <w:szCs w:val="20"/>
        </w:rPr>
        <w:t>uent developments may affect our assessment and estimates of such loss contingencies and require us to make payments in excess of our reserves, which could have an adverse effect on our financial condition or results of operations.</w:t>
      </w:r>
    </w:p>
    <w:p w:rsidR="00000000" w:rsidRDefault="00827839">
      <w:pPr>
        <w:pStyle w:val="a3"/>
        <w:spacing w:before="360" w:beforeAutospacing="0" w:after="0" w:afterAutospacing="0"/>
        <w:jc w:val="both"/>
        <w:rPr>
          <w:b/>
          <w:bCs/>
          <w:i/>
          <w:iCs/>
          <w:sz w:val="20"/>
          <w:szCs w:val="20"/>
        </w:rPr>
      </w:pPr>
      <w:r>
        <w:rPr>
          <w:b/>
          <w:bCs/>
          <w:i/>
          <w:iCs/>
          <w:sz w:val="20"/>
          <w:szCs w:val="20"/>
        </w:rPr>
        <w:t>If we are unable to make</w:t>
      </w:r>
      <w:r>
        <w:rPr>
          <w:b/>
          <w:bCs/>
          <w:i/>
          <w:iCs/>
          <w:sz w:val="20"/>
          <w:szCs w:val="20"/>
        </w:rPr>
        <w:t xml:space="preserve"> acquisitions on economically acceptable terms or effectively integrate such acquisitions into our operations, our financial performance may be adversely affected.</w:t>
      </w:r>
    </w:p>
    <w:p w:rsidR="00000000" w:rsidRDefault="00827839">
      <w:pPr>
        <w:pStyle w:val="a3"/>
        <w:spacing w:before="120" w:beforeAutospacing="0" w:after="0" w:afterAutospacing="0"/>
        <w:ind w:firstLine="556"/>
        <w:jc w:val="both"/>
        <w:rPr>
          <w:sz w:val="20"/>
          <w:szCs w:val="20"/>
        </w:rPr>
      </w:pPr>
      <w:r>
        <w:rPr>
          <w:sz w:val="20"/>
          <w:szCs w:val="20"/>
        </w:rPr>
        <w:t>The retail propane and fuel oil industries are mature.  We expect overall demand for propane</w:t>
      </w:r>
      <w:r>
        <w:rPr>
          <w:sz w:val="20"/>
          <w:szCs w:val="20"/>
        </w:rPr>
        <w:t xml:space="preserve"> and fuel oil to be relatively flat to moderately declining over the next several years.  With respect to our retail propane business, it may be difficult for us to increase our aggregate number of retail propane customers except through acquisitions. As a</w:t>
      </w:r>
      <w:r>
        <w:rPr>
          <w:sz w:val="20"/>
          <w:szCs w:val="20"/>
        </w:rPr>
        <w:t xml:space="preserve"> result, we may engage in strategic transactions involving the acquisition of or investment in other retail propane and fuel oil distributors, other energy-related businesses or other related cross-function lines of business. The competition for these acqu</w:t>
      </w:r>
      <w:r>
        <w:rPr>
          <w:sz w:val="20"/>
          <w:szCs w:val="20"/>
        </w:rPr>
        <w:t>isitions is intense and we can make no assurance that we will be able to successfully acquire other businesses on economically acceptable terms or, if we do, that we can integrate the operations of acquired businesses effectively or to realize the expected</w:t>
      </w:r>
      <w:r>
        <w:rPr>
          <w:sz w:val="20"/>
          <w:szCs w:val="20"/>
        </w:rPr>
        <w:t xml:space="preserve"> benefits of such transactions within the anticipated time frame, or at all, such as cost savings, synergies, sales and growth opportunities.  In addition, the integration of an acquired business may result in material unanticipated challenges, expenses, l</w:t>
      </w:r>
      <w:r>
        <w:rPr>
          <w:sz w:val="20"/>
          <w:szCs w:val="20"/>
        </w:rPr>
        <w:t>iabilities or competitive responses,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29702201"/>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a failure to implement our strategy for a particular strategic transaction, including successfully integrating the acquired business into our existing infrastructure, or a failure to realize value from a </w:t>
            </w:r>
            <w:r>
              <w:rPr>
                <w:sz w:val="20"/>
                <w:szCs w:val="20"/>
              </w:rPr>
              <w:t>strategic investment;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inconsistencies between our standards, procedures and policies and those of the acquired business;</w:t>
            </w:r>
          </w:p>
        </w:tc>
      </w:tr>
    </w:tbl>
    <w:p w:rsidR="00000000" w:rsidRDefault="00827839">
      <w:pPr>
        <w:divId w:val="9235886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2358862"/>
        </w:trPr>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costs or inefficiencies associated with the integration of our operational and administrative systems;</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12</w:t>
      </w:r>
    </w:p>
    <w:p w:rsidR="00000000" w:rsidRDefault="00827839">
      <w:pPr>
        <w:rPr>
          <w:rFonts w:eastAsia="Times New Roman"/>
        </w:rPr>
      </w:pPr>
      <w:r>
        <w:rPr>
          <w:rFonts w:eastAsia="Times New Roman"/>
        </w:rPr>
        <w:pict>
          <v:rect id="_x0000_i103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376584060"/>
        </w:trPr>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an increased scope and complexity of our opera</w:t>
            </w:r>
            <w:r>
              <w:rPr>
                <w:sz w:val="20"/>
                <w:szCs w:val="20"/>
              </w:rPr>
              <w:t>tions which could require significant attention from management and could impose constraints on our operations or other projects;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unforeseen expenses, delays or conditions, including required regulatory or other third-party approvals or consents, or provisions in contracts with third parties that could limit our flexibility to take certain actions;</w:t>
            </w:r>
          </w:p>
        </w:tc>
      </w:tr>
    </w:tbl>
    <w:p w:rsidR="00000000" w:rsidRDefault="00827839">
      <w:pPr>
        <w:divId w:val="54922357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549223570"/>
        </w:trPr>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an inability to retain the cu</w:t>
            </w:r>
            <w:r>
              <w:rPr>
                <w:sz w:val="20"/>
                <w:szCs w:val="20"/>
              </w:rPr>
              <w:t>stomers, employees, suppliers and/or business partners of the acquired business or generate new customers or revenue opportunities through a strategic transaction;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the costs of compliance with local laws and regulations and the implementation of comp</w:t>
            </w:r>
            <w:r>
              <w:rPr>
                <w:sz w:val="20"/>
                <w:szCs w:val="20"/>
              </w:rPr>
              <w:t>liance processes, as well as the assumption of unexpected liabilities, litigation, penalties or other enforcement actions; and</w:t>
            </w:r>
          </w:p>
        </w:tc>
      </w:tr>
    </w:tbl>
    <w:p w:rsidR="00000000" w:rsidRDefault="00827839">
      <w:pPr>
        <w:divId w:val="180481133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04811331"/>
        </w:trPr>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higher than expected costs arising due to unforeseen changes in tax, trade, environmental, labor, safety, payroll or pensio</w:t>
            </w:r>
            <w:r>
              <w:rPr>
                <w:sz w:val="20"/>
                <w:szCs w:val="20"/>
              </w:rPr>
              <w:t>n policies.</w:t>
            </w:r>
          </w:p>
        </w:tc>
      </w:tr>
    </w:tbl>
    <w:p w:rsidR="00000000" w:rsidRDefault="00827839">
      <w:pPr>
        <w:pStyle w:val="a3"/>
        <w:spacing w:before="240" w:beforeAutospacing="0" w:after="0" w:afterAutospacing="0"/>
        <w:jc w:val="both"/>
        <w:rPr>
          <w:sz w:val="20"/>
          <w:szCs w:val="20"/>
        </w:rPr>
      </w:pPr>
      <w:r>
        <w:rPr>
          <w:sz w:val="20"/>
          <w:szCs w:val="20"/>
        </w:rPr>
        <w:t xml:space="preserve">Any one of these factors could result in delays, increased costs or decreases in the amount of expected revenues related to combining the businesses or derived from a strategic transaction and could adversely impact our financial condition or </w:t>
      </w:r>
      <w:r>
        <w:rPr>
          <w:sz w:val="20"/>
          <w:szCs w:val="20"/>
        </w:rPr>
        <w:t>results of operations.</w:t>
      </w:r>
    </w:p>
    <w:p w:rsidR="00000000" w:rsidRDefault="00827839">
      <w:pPr>
        <w:pStyle w:val="a3"/>
        <w:spacing w:before="360" w:beforeAutospacing="0" w:after="0" w:afterAutospacing="0"/>
        <w:jc w:val="both"/>
        <w:rPr>
          <w:b/>
          <w:bCs/>
          <w:i/>
          <w:iCs/>
          <w:sz w:val="20"/>
          <w:szCs w:val="20"/>
        </w:rPr>
      </w:pPr>
      <w:r>
        <w:rPr>
          <w:b/>
          <w:bCs/>
          <w:i/>
          <w:iCs/>
          <w:sz w:val="20"/>
          <w:szCs w:val="20"/>
        </w:rPr>
        <w:t>The adoption of climate change legislation could negatively impact our operations and result in increased operating costs and reduced demand for the products and services we provide.</w:t>
      </w:r>
    </w:p>
    <w:p w:rsidR="00000000" w:rsidRDefault="00827839">
      <w:pPr>
        <w:pStyle w:val="a3"/>
        <w:spacing w:before="120" w:beforeAutospacing="0" w:after="0" w:afterAutospacing="0"/>
        <w:ind w:firstLine="556"/>
        <w:jc w:val="both"/>
        <w:rPr>
          <w:sz w:val="20"/>
          <w:szCs w:val="20"/>
        </w:rPr>
      </w:pPr>
      <w:r>
        <w:rPr>
          <w:sz w:val="20"/>
          <w:szCs w:val="20"/>
        </w:rPr>
        <w:t>In December 2009, the U.S. Environmental Protection Agency (“EPA”) issued</w:t>
      </w:r>
      <w:r>
        <w:rPr>
          <w:sz w:val="20"/>
          <w:szCs w:val="20"/>
        </w:rPr>
        <w:t xml:space="preserve"> an Endangerment Finding under the federal Clean Air Act, which determined that emissions of greenhouse gases (“GHGs”), such as carbon dioxide, present an endangerment to public health and the environment because emissions of such gases may be contributing</w:t>
      </w:r>
      <w:r>
        <w:rPr>
          <w:sz w:val="20"/>
          <w:szCs w:val="20"/>
        </w:rPr>
        <w:t xml:space="preserve"> to the warming of the earth’s atmosphere, volatility in seasonal temperatures, increased frequency and severity of storms, floods and other climatic changes. Based on these findings, the EPA has begun adopting and implementing regulations to restrict emis</w:t>
      </w:r>
      <w:r>
        <w:rPr>
          <w:sz w:val="20"/>
          <w:szCs w:val="20"/>
        </w:rPr>
        <w:t>sions of GHGs and require reporting by certain regulated facilities on an annual basis.  The EPA’s authority to regulate GHGs has been upheld by the U.S. Supreme Court.  Under the current administration, the EPA has stopped the implementation of regulation</w:t>
      </w:r>
      <w:r>
        <w:rPr>
          <w:sz w:val="20"/>
          <w:szCs w:val="20"/>
        </w:rPr>
        <w:t>s regarding GHG emissions and is unlikely to take any enforcement action relating to GHG regulations.</w:t>
      </w:r>
    </w:p>
    <w:p w:rsidR="00000000" w:rsidRDefault="00827839">
      <w:pPr>
        <w:pStyle w:val="a3"/>
        <w:spacing w:before="240" w:beforeAutospacing="0" w:after="0" w:afterAutospacing="0"/>
        <w:ind w:firstLine="556"/>
        <w:jc w:val="both"/>
        <w:rPr>
          <w:sz w:val="20"/>
          <w:szCs w:val="20"/>
        </w:rPr>
      </w:pPr>
      <w:r>
        <w:rPr>
          <w:sz w:val="20"/>
          <w:szCs w:val="20"/>
        </w:rPr>
        <w:t>Both Houses of the United States Congress also have considered adopting legislation to reduce emissions of GHGs.  Although Congress has not yet enacted co</w:t>
      </w:r>
      <w:r>
        <w:rPr>
          <w:sz w:val="20"/>
          <w:szCs w:val="20"/>
        </w:rPr>
        <w:t>mprehensive federal legislation to address climate change, numerous states and municipalities have adopted laws and policies on climate change and GHG emission reduction targets.  For example, in July 2019, the Climate Leadership and Community Protection A</w:t>
      </w:r>
      <w:r>
        <w:rPr>
          <w:sz w:val="20"/>
          <w:szCs w:val="20"/>
        </w:rPr>
        <w:t>ct was signed into law in New York, establishing a statewide framework to reduce net greenhouse gas emissions to zero by 2050.</w:t>
      </w:r>
    </w:p>
    <w:p w:rsidR="00000000" w:rsidRDefault="00827839">
      <w:pPr>
        <w:pStyle w:val="a3"/>
        <w:spacing w:before="240" w:beforeAutospacing="0" w:after="0" w:afterAutospacing="0"/>
        <w:ind w:firstLine="556"/>
        <w:jc w:val="both"/>
        <w:rPr>
          <w:sz w:val="20"/>
          <w:szCs w:val="20"/>
        </w:rPr>
      </w:pPr>
      <w:r>
        <w:rPr>
          <w:sz w:val="20"/>
          <w:szCs w:val="20"/>
        </w:rPr>
        <w:t>While propane is considered a clean alternative to fuel and demand for propane may increase over other non-renewable sources of e</w:t>
      </w:r>
      <w:r>
        <w:rPr>
          <w:sz w:val="20"/>
          <w:szCs w:val="20"/>
        </w:rPr>
        <w:t>nergy if new climate change legislation is enacted, the adoption of federal, state or local climate change legislation or regulatory programs to reduce emissions of GHGs could require us to incur increased capital and operating costs, with resulting impact</w:t>
      </w:r>
      <w:r>
        <w:rPr>
          <w:sz w:val="20"/>
          <w:szCs w:val="20"/>
        </w:rPr>
        <w:t xml:space="preserve"> on product price and demand. We cannot predict whether, when or in what form climate change legislation provisions and renewable energy standards may be enacted. In addition, a possible consequence of climate change is increased volatility in seasonal tem</w:t>
      </w:r>
      <w:r>
        <w:rPr>
          <w:sz w:val="20"/>
          <w:szCs w:val="20"/>
        </w:rPr>
        <w:t>peratures. It is difficult to predict how the market for our fuels would be affected by increased temperature volatility, although if there is an overall trend of warmer temperatures, it could adversely affect our business.</w:t>
      </w:r>
    </w:p>
    <w:p w:rsidR="00000000" w:rsidRDefault="00827839">
      <w:pPr>
        <w:pStyle w:val="a3"/>
        <w:spacing w:before="360" w:beforeAutospacing="0" w:after="0" w:afterAutospacing="0"/>
        <w:jc w:val="both"/>
        <w:rPr>
          <w:b/>
          <w:bCs/>
          <w:i/>
          <w:iCs/>
          <w:sz w:val="20"/>
          <w:szCs w:val="20"/>
        </w:rPr>
      </w:pPr>
      <w:r>
        <w:rPr>
          <w:b/>
          <w:bCs/>
          <w:i/>
          <w:iCs/>
          <w:sz w:val="20"/>
          <w:szCs w:val="20"/>
        </w:rPr>
        <w:t xml:space="preserve">Our use of derivative contracts </w:t>
      </w:r>
      <w:r>
        <w:rPr>
          <w:b/>
          <w:bCs/>
          <w:i/>
          <w:iCs/>
          <w:sz w:val="20"/>
          <w:szCs w:val="20"/>
        </w:rPr>
        <w:t>involves credit and regulatory risk and may expose us to financial loss.</w:t>
      </w:r>
    </w:p>
    <w:p w:rsidR="00000000" w:rsidRDefault="00827839">
      <w:pPr>
        <w:pStyle w:val="a3"/>
        <w:spacing w:before="120" w:beforeAutospacing="0" w:after="0" w:afterAutospacing="0"/>
        <w:ind w:firstLine="556"/>
        <w:jc w:val="both"/>
        <w:rPr>
          <w:sz w:val="20"/>
          <w:szCs w:val="20"/>
        </w:rPr>
      </w:pPr>
      <w:r>
        <w:rPr>
          <w:sz w:val="20"/>
          <w:szCs w:val="20"/>
        </w:rPr>
        <w:t xml:space="preserve">From time to time, we enter into hedging transactions to reduce our business risks arising from fluctuations in commodity prices and interest rates. Hedging transactions expose us to </w:t>
      </w:r>
      <w:r>
        <w:rPr>
          <w:sz w:val="20"/>
          <w:szCs w:val="20"/>
        </w:rPr>
        <w:t xml:space="preserve">risk of financial loss in some circumstances, including if the other party to the contract defaults on its obligations to us or if there is a change in the expected differential between the price of the underlying commodity or financial metric provided in </w:t>
      </w:r>
      <w:r>
        <w:rPr>
          <w:sz w:val="20"/>
          <w:szCs w:val="20"/>
        </w:rPr>
        <w:t>the hedging agreement and the actual amount received.  Transactional, margin, capital, recordkeeping, reporting, clearing and other requirements imposed on parties to derivatives transactions as a result of legislation and related rulemaking may increase o</w:t>
      </w:r>
      <w:r>
        <w:rPr>
          <w:sz w:val="20"/>
          <w:szCs w:val="20"/>
        </w:rPr>
        <w:t xml:space="preserve">ur operational and transactional cost of entering into and maintaining derivatives contracts and may adversely affect the number and/or creditworthiness of derivatives counterparties available to us. If we were to reduce our use of derivatives as a result </w:t>
      </w:r>
      <w:r>
        <w:rPr>
          <w:sz w:val="20"/>
          <w:szCs w:val="20"/>
        </w:rPr>
        <w:t>of regulatory burdens or otherwise, our results of operations could become more volatile and our cash flow could be less predictable.</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13</w:t>
      </w:r>
    </w:p>
    <w:p w:rsidR="00000000" w:rsidRDefault="00827839">
      <w:pPr>
        <w:rPr>
          <w:rFonts w:eastAsia="Times New Roman"/>
        </w:rPr>
      </w:pPr>
      <w:r>
        <w:rPr>
          <w:rFonts w:eastAsia="Times New Roman"/>
        </w:rPr>
        <w:pict>
          <v:rect id="_x0000_i104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i/>
          <w:iCs/>
          <w:sz w:val="20"/>
          <w:szCs w:val="20"/>
        </w:rPr>
      </w:pPr>
      <w:r>
        <w:rPr>
          <w:b/>
          <w:bCs/>
          <w:i/>
          <w:iCs/>
          <w:sz w:val="20"/>
          <w:szCs w:val="20"/>
        </w:rPr>
        <w:t>We face risks relate</w:t>
      </w:r>
      <w:r>
        <w:rPr>
          <w:b/>
          <w:bCs/>
          <w:i/>
          <w:iCs/>
          <w:sz w:val="20"/>
          <w:szCs w:val="20"/>
        </w:rPr>
        <w:t>d to our reliance on particular management information systems and communication networks to effectively manage all aspects of our delivery of propane.</w:t>
      </w:r>
    </w:p>
    <w:p w:rsidR="00000000" w:rsidRDefault="00827839">
      <w:pPr>
        <w:pStyle w:val="a3"/>
        <w:spacing w:before="120" w:beforeAutospacing="0" w:after="0" w:afterAutospacing="0"/>
        <w:ind w:firstLine="556"/>
        <w:jc w:val="both"/>
        <w:rPr>
          <w:sz w:val="20"/>
          <w:szCs w:val="20"/>
        </w:rPr>
      </w:pPr>
      <w:r>
        <w:rPr>
          <w:sz w:val="20"/>
          <w:szCs w:val="20"/>
        </w:rPr>
        <w:t>We depend heavily on the performance and availability of our management information systems, websites an</w:t>
      </w:r>
      <w:r>
        <w:rPr>
          <w:sz w:val="20"/>
          <w:szCs w:val="20"/>
        </w:rPr>
        <w:t>d network infrastructure to attract and retain customers, process orders, manage inventory and accounts receivable collections, maintain distributor and customer information, maintain cost-efficient operations, assist in delivering our products on a timely</w:t>
      </w:r>
      <w:r>
        <w:rPr>
          <w:sz w:val="20"/>
          <w:szCs w:val="20"/>
        </w:rPr>
        <w:t xml:space="preserve"> basis and otherwise conduct our business. We have centralized our information systems and we rely on third-party communications service and system providers to provide technology services and link our systems with the business locations these systems were</w:t>
      </w:r>
      <w:r>
        <w:rPr>
          <w:sz w:val="20"/>
          <w:szCs w:val="20"/>
        </w:rPr>
        <w:t xml:space="preserve"> designed to serve. Any failure or disruption in the availability or operation of those management information systems, loss of employees knowledgeable about such systems, termination of our relationship with one or more of these key third-party providers </w:t>
      </w:r>
      <w:r>
        <w:rPr>
          <w:sz w:val="20"/>
          <w:szCs w:val="20"/>
        </w:rPr>
        <w:t>or failure to continue to modify such systems effectively as our business expands could create negative publicity that damages our reputation or otherwise adversely impact our ability to manage our business effectively. We may experience system interruptio</w:t>
      </w:r>
      <w:r>
        <w:rPr>
          <w:sz w:val="20"/>
          <w:szCs w:val="20"/>
        </w:rPr>
        <w:t xml:space="preserve">ns or disruptions for a variety of reasons, including as the result of network failures, power outages, cyber attacks, employee errors, software errors, an unusually high volume of visitors attempting to access our systems, or localized conditions such as </w:t>
      </w:r>
      <w:r>
        <w:rPr>
          <w:sz w:val="20"/>
          <w:szCs w:val="20"/>
        </w:rPr>
        <w:t>fire, explosions or power outages or broader geographic events such as earthquakes, storms, floods, epidemics, strikes, acts of war, civil unrest or terrorist acts. Because we are dependent in part on independent third parties for the implementation and ma</w:t>
      </w:r>
      <w:r>
        <w:rPr>
          <w:sz w:val="20"/>
          <w:szCs w:val="20"/>
        </w:rPr>
        <w:t>intenance of certain aspects of our systems and because some of the causes of system interruptions may be outside of our control, we may not be able to remedy such interruptions in a timely manner, or at all. Our systems’ business continuity plans and insu</w:t>
      </w:r>
      <w:r>
        <w:rPr>
          <w:sz w:val="20"/>
          <w:szCs w:val="20"/>
        </w:rPr>
        <w:t>rance programs seek to mitigate such risks, but they cannot fully eliminate the risks as a failure or disruption could be experienced in any of our information systems.</w:t>
      </w:r>
    </w:p>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160" w:beforeAutospacing="0" w:after="0" w:afterAutospacing="0"/>
        <w:jc w:val="both"/>
        <w:rPr>
          <w:b/>
          <w:bCs/>
          <w:i/>
          <w:iCs/>
          <w:sz w:val="20"/>
          <w:szCs w:val="20"/>
        </w:rPr>
      </w:pPr>
      <w:r>
        <w:rPr>
          <w:b/>
          <w:bCs/>
          <w:i/>
          <w:iCs/>
          <w:sz w:val="20"/>
          <w:szCs w:val="20"/>
        </w:rPr>
        <w:t>We face risks related to cybersecurity breaches of our systems and information techno</w:t>
      </w:r>
      <w:r>
        <w:rPr>
          <w:b/>
          <w:bCs/>
          <w:i/>
          <w:iCs/>
          <w:sz w:val="20"/>
          <w:szCs w:val="20"/>
        </w:rPr>
        <w:t>logy.</w:t>
      </w:r>
    </w:p>
    <w:p w:rsidR="00000000" w:rsidRDefault="00827839">
      <w:pPr>
        <w:pStyle w:val="a3"/>
        <w:spacing w:before="120" w:beforeAutospacing="0" w:after="0" w:afterAutospacing="0"/>
        <w:ind w:firstLine="816"/>
        <w:jc w:val="both"/>
        <w:rPr>
          <w:sz w:val="20"/>
          <w:szCs w:val="20"/>
        </w:rPr>
      </w:pPr>
      <w:r>
        <w:rPr>
          <w:sz w:val="20"/>
          <w:szCs w:val="20"/>
        </w:rPr>
        <w:t>Cybersecurity threats to network and data security are becoming increasingly diverse and sophisticated. As threats become more frequent, intense and sophisticated, the costs of proactive defensive measures may increase as we seek to continue to prote</w:t>
      </w:r>
      <w:r>
        <w:rPr>
          <w:sz w:val="20"/>
          <w:szCs w:val="20"/>
        </w:rPr>
        <w:t>ct our management information systems, websites and network. Third parties may have the technology or expertise to breach the security that we use to protect our customer transaction data and our security measures may not prevent physical security or cyber</w:t>
      </w:r>
      <w:r>
        <w:rPr>
          <w:sz w:val="20"/>
          <w:szCs w:val="20"/>
        </w:rPr>
        <w:t xml:space="preserve">security breaches, which could result in significant harm to our business, our reputation or our results of operations. We rely on encryption and/or authentication technology licensed from and, at times, administered by independent third parties to secure </w:t>
      </w:r>
      <w:r>
        <w:rPr>
          <w:sz w:val="20"/>
          <w:szCs w:val="20"/>
        </w:rPr>
        <w:t>transmission of confidential information, including personally identifiable information. Our outsourcing agreements with these third-party service providers generally require that they utilize adequate security systems to protect our confidential informati</w:t>
      </w:r>
      <w:r>
        <w:rPr>
          <w:sz w:val="20"/>
          <w:szCs w:val="20"/>
        </w:rPr>
        <w:t>on. However, advances in computer capabilities, new discoveries in the field of cryptography or other cybersecurity developments could render our security systems and information technology, or those used by our third-party service providers, vulnerable to</w:t>
      </w:r>
      <w:r>
        <w:rPr>
          <w:sz w:val="20"/>
          <w:szCs w:val="20"/>
        </w:rPr>
        <w:t xml:space="preserve"> a breach. In addition, anyone who is able to circumvent our security measures could misappropriate proprietary information or cause interruptions in our operations. Risks of cybersecurity incidents caused by malicious third parties using sophisticated, ta</w:t>
      </w:r>
      <w:r>
        <w:rPr>
          <w:sz w:val="20"/>
          <w:szCs w:val="20"/>
        </w:rPr>
        <w:t xml:space="preserve">rgeted methods to circumvent firewalls, encryption, and other security defenses, could include hacking, viruses, malicious software, ransomware, phishing attacks, denial of service attacks and other attempts to capture, disrupt or gain unauthorized access </w:t>
      </w:r>
      <w:r>
        <w:rPr>
          <w:sz w:val="20"/>
          <w:szCs w:val="20"/>
        </w:rPr>
        <w:t xml:space="preserve">to data are rapidly evolving and could lead to disruptions in our management information systems, websites or other data processing systems, unauthorized release of confidential or otherwise protected information or corruption of data. The techniques used </w:t>
      </w:r>
      <w:r>
        <w:rPr>
          <w:sz w:val="20"/>
          <w:szCs w:val="20"/>
        </w:rPr>
        <w:t>by third parties change frequently and may be difficult to detect for long periods of time. In addition, dependence upon automated systems may further increase the risk that operational system flaws, employee tampering or manipulation of those systems will</w:t>
      </w:r>
      <w:r>
        <w:rPr>
          <w:sz w:val="20"/>
          <w:szCs w:val="20"/>
        </w:rPr>
        <w:t xml:space="preserve"> result in losses that are difficult to detect or recoup.  To the extent customer data is hacked or misappropriated, we could be subject to liability to affected persons.  Any successful efforts by individuals to infiltrate, break into, disrupt, damage or </w:t>
      </w:r>
      <w:r>
        <w:rPr>
          <w:sz w:val="20"/>
          <w:szCs w:val="20"/>
        </w:rPr>
        <w:t xml:space="preserve">otherwise steal from the Partnership’s or its third-party service providers’ security or information systems could damage our reputation and expose us to increased costs, litigation or other liability that could adversely impact our financial condition or </w:t>
      </w:r>
      <w:r>
        <w:rPr>
          <w:sz w:val="20"/>
          <w:szCs w:val="20"/>
        </w:rPr>
        <w:t>results of operations.  </w:t>
      </w:r>
    </w:p>
    <w:p w:rsidR="00000000" w:rsidRDefault="00827839">
      <w:pPr>
        <w:pStyle w:val="a3"/>
        <w:spacing w:before="360" w:beforeAutospacing="0" w:after="0" w:afterAutospacing="0"/>
        <w:jc w:val="center"/>
        <w:rPr>
          <w:b/>
          <w:bCs/>
          <w:sz w:val="20"/>
          <w:szCs w:val="20"/>
        </w:rPr>
      </w:pPr>
      <w:r>
        <w:rPr>
          <w:b/>
          <w:bCs/>
          <w:sz w:val="20"/>
          <w:szCs w:val="20"/>
          <w:u w:val="single"/>
        </w:rPr>
        <w:t>RISKS RELATED TO OUR INDEBTEDNESS</w:t>
      </w:r>
    </w:p>
    <w:p w:rsidR="00000000" w:rsidRDefault="00827839">
      <w:pPr>
        <w:pStyle w:val="a3"/>
        <w:spacing w:before="240" w:beforeAutospacing="0" w:after="0" w:afterAutospacing="0"/>
        <w:jc w:val="both"/>
        <w:rPr>
          <w:b/>
          <w:bCs/>
          <w:i/>
          <w:iCs/>
          <w:sz w:val="20"/>
          <w:szCs w:val="20"/>
        </w:rPr>
      </w:pPr>
      <w:r>
        <w:rPr>
          <w:b/>
          <w:bCs/>
          <w:i/>
          <w:iCs/>
          <w:sz w:val="20"/>
          <w:szCs w:val="20"/>
        </w:rPr>
        <w:t>We face risks related to our current and future debt obligations that may limit our ability to make distributions to Unitholders, as well as our financial flexibility.</w:t>
      </w:r>
    </w:p>
    <w:p w:rsidR="00000000" w:rsidRDefault="00827839">
      <w:pPr>
        <w:pStyle w:val="a3"/>
        <w:spacing w:before="120" w:beforeAutospacing="0" w:after="0" w:afterAutospacing="0"/>
        <w:ind w:firstLine="556"/>
        <w:jc w:val="both"/>
        <w:rPr>
          <w:sz w:val="20"/>
          <w:szCs w:val="20"/>
        </w:rPr>
      </w:pPr>
      <w:r>
        <w:rPr>
          <w:sz w:val="20"/>
          <w:szCs w:val="20"/>
        </w:rPr>
        <w:t>As of September 28, 2019, our long-term debt consisted of $525.0 million in aggregate pr</w:t>
      </w:r>
      <w:r>
        <w:rPr>
          <w:sz w:val="20"/>
          <w:szCs w:val="20"/>
        </w:rPr>
        <w:t>incipal amount of 5.5% senior notes due June 1, 2024, $250.0 million in aggregate principal amount of 5.75% senior notes due March 1, 2025, $350.0 million in aggregate principal amount of 5.875% senior notes due March 1, 2027 and $113.5 million outstanding</w:t>
      </w:r>
      <w:r>
        <w:rPr>
          <w:sz w:val="20"/>
          <w:szCs w:val="20"/>
        </w:rPr>
        <w:t xml:space="preserve"> under our $500.0 million senior secured revolving credit facility. The payment of principal and interest on our debt will reduce the cash available to make distributions on our Common Units. In addition, we will not be able to make any distributions to ho</w:t>
      </w:r>
      <w:r>
        <w:rPr>
          <w:sz w:val="20"/>
          <w:szCs w:val="20"/>
        </w:rPr>
        <w:t>lders of our Common Units if there is, or after giving effect to such distribution, there would be, an event of default under the indentures governing the senior notes and the senior secured revolving credit facility. The amount of distributions that we ma</w:t>
      </w:r>
      <w:r>
        <w:rPr>
          <w:sz w:val="20"/>
          <w:szCs w:val="20"/>
        </w:rPr>
        <w:t>y make to holders of our Common Units is limited by the senior notes, and the amount of distributions that the Operating Partnership may make to us is limited by our revolving credit facility.</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14</w:t>
      </w:r>
    </w:p>
    <w:p w:rsidR="00000000" w:rsidRDefault="00827839">
      <w:pPr>
        <w:rPr>
          <w:rFonts w:eastAsia="Times New Roman"/>
        </w:rPr>
      </w:pPr>
      <w:r>
        <w:rPr>
          <w:rFonts w:eastAsia="Times New Roman"/>
        </w:rPr>
        <w:pict>
          <v:rect id="_x0000_i104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The revolving credit facility and the senior notes both contain various restrictive and affirmative covenants applicable to us, the Operating Partnership and its subsidiaries, respectively, including (i) restrictions o</w:t>
      </w:r>
      <w:r>
        <w:rPr>
          <w:sz w:val="20"/>
          <w:szCs w:val="20"/>
        </w:rPr>
        <w:t xml:space="preserve">n the incurrence of additional indebtedness, and (ii) restrictions on certain liens, investments, guarantees, loans, advances, payments, mergers, consolidations, distributions, sales of assets and other transactions. The revolving credit facility contains </w:t>
      </w:r>
      <w:r>
        <w:rPr>
          <w:sz w:val="20"/>
          <w:szCs w:val="20"/>
        </w:rPr>
        <w:t xml:space="preserve">certain financial covenants: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45363484"/>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requiring our consolidated interest coverage ratio, as defined, to be not less than 2.5 to 1.0 as of the end of any fiscal quarter;</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prohibiting our total consolidated leverage ratio, as defined, from being greater than 5.5 to 1.0 for the fiscal quarter ending in December 2018 and for each fiscal quarter thereafter; and</w:t>
            </w:r>
          </w:p>
        </w:tc>
      </w:tr>
    </w:tbl>
    <w:p w:rsidR="00000000" w:rsidRDefault="00827839">
      <w:pPr>
        <w:divId w:val="150432384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04323845"/>
        </w:trPr>
        <w:tc>
          <w:tcPr>
            <w:tcW w:w="227" w:type="pct"/>
            <w:noWrap/>
            <w:hideMark/>
          </w:tcPr>
          <w:p w:rsidR="00000000" w:rsidRDefault="00827839">
            <w:pPr>
              <w:pStyle w:val="a3"/>
              <w:spacing w:before="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0" w:beforeAutospacing="0" w:after="0" w:afterAutospacing="0"/>
              <w:jc w:val="both"/>
              <w:rPr>
                <w:sz w:val="20"/>
                <w:szCs w:val="20"/>
              </w:rPr>
            </w:pPr>
            <w:r>
              <w:rPr>
                <w:sz w:val="20"/>
                <w:szCs w:val="20"/>
              </w:rPr>
              <w:t>•</w:t>
            </w:r>
          </w:p>
        </w:tc>
        <w:tc>
          <w:tcPr>
            <w:tcW w:w="0" w:type="auto"/>
            <w:hideMark/>
          </w:tcPr>
          <w:p w:rsidR="00000000" w:rsidRDefault="00827839">
            <w:pPr>
              <w:pStyle w:val="a3"/>
              <w:spacing w:before="0" w:beforeAutospacing="0" w:after="0" w:afterAutospacing="0"/>
              <w:jc w:val="both"/>
              <w:rPr>
                <w:sz w:val="20"/>
                <w:szCs w:val="20"/>
              </w:rPr>
            </w:pPr>
            <w:r>
              <w:rPr>
                <w:sz w:val="20"/>
                <w:szCs w:val="20"/>
              </w:rPr>
              <w:t>prohibiting the senior secured consolidated leverage ratio, a</w:t>
            </w:r>
            <w:r>
              <w:rPr>
                <w:sz w:val="20"/>
                <w:szCs w:val="20"/>
              </w:rPr>
              <w:t>s defined, of the Operating Partnership from being greater than 3.0 to 1.0 as of the end of any fiscal quarter.  </w:t>
            </w:r>
          </w:p>
        </w:tc>
      </w:tr>
    </w:tbl>
    <w:p w:rsidR="00000000" w:rsidRDefault="00827839">
      <w:pPr>
        <w:pStyle w:val="a3"/>
        <w:spacing w:before="240" w:beforeAutospacing="0" w:after="0" w:afterAutospacing="0"/>
        <w:ind w:firstLine="556"/>
        <w:jc w:val="both"/>
        <w:rPr>
          <w:sz w:val="20"/>
          <w:szCs w:val="20"/>
        </w:rPr>
      </w:pPr>
      <w:r>
        <w:rPr>
          <w:sz w:val="20"/>
          <w:szCs w:val="20"/>
        </w:rPr>
        <w:t>Under the indentures governing the senior notes, we are generally permitted to make cash distributions equal to available cash, as defined, a</w:t>
      </w:r>
      <w:r>
        <w:rPr>
          <w:sz w:val="20"/>
          <w:szCs w:val="20"/>
        </w:rPr>
        <w:t>s of the end of the immediately preceding quarter, if no event of default exists or would exist upon making such distributions, and our consolidated fixed charge coverage ratio, as defined, is greater than 1.75 to 1. We and the Operating Partnership were i</w:t>
      </w:r>
      <w:r>
        <w:rPr>
          <w:sz w:val="20"/>
          <w:szCs w:val="20"/>
        </w:rPr>
        <w:t xml:space="preserve">n compliance with all covenants and terms of the senior notes and the revolving credit facility as of September 28, 2019. </w:t>
      </w:r>
    </w:p>
    <w:p w:rsidR="00000000" w:rsidRDefault="00827839">
      <w:pPr>
        <w:pStyle w:val="a3"/>
        <w:spacing w:before="240" w:beforeAutospacing="0" w:after="0" w:afterAutospacing="0"/>
        <w:ind w:firstLine="556"/>
        <w:jc w:val="both"/>
        <w:rPr>
          <w:sz w:val="20"/>
          <w:szCs w:val="20"/>
        </w:rPr>
      </w:pPr>
      <w:r>
        <w:rPr>
          <w:sz w:val="20"/>
          <w:szCs w:val="20"/>
        </w:rPr>
        <w:t>The amount and terms of our debt may also adversely affect our ability to finance future operations and capital needs, limit our abil</w:t>
      </w:r>
      <w:r>
        <w:rPr>
          <w:sz w:val="20"/>
          <w:szCs w:val="20"/>
        </w:rPr>
        <w:t>ity to pursue acquisitions and other business opportunities and make our results of operations more susceptible to adverse economic and industry conditions. In addition to our outstanding indebtedness, we may in the future require additional debt to financ</w:t>
      </w:r>
      <w:r>
        <w:rPr>
          <w:sz w:val="20"/>
          <w:szCs w:val="20"/>
        </w:rPr>
        <w:t>e acquisitions or for general business purposes; however, credit market conditions may impact our ability to access such financing.  If we are unable to access needed financing or to generate sufficient cash from operations, we may be required to abandon c</w:t>
      </w:r>
      <w:r>
        <w:rPr>
          <w:sz w:val="20"/>
          <w:szCs w:val="20"/>
        </w:rPr>
        <w:t>ertain projects or curtail capital expenditures.  Additional debt, where it is available, could result in an increase in our leverage.  Our ability to make principal and interest payments depends on our future performance, which is subject to many factors,</w:t>
      </w:r>
      <w:r>
        <w:rPr>
          <w:sz w:val="20"/>
          <w:szCs w:val="20"/>
        </w:rPr>
        <w:t xml:space="preserve"> some of which are beyond our control.  As interest expense increases (whether due to an increase in interest rates and/or the size of aggregate outstanding debt), our ability to fund distributions on our Common Units may be impacted, depending on the leve</w:t>
      </w:r>
      <w:r>
        <w:rPr>
          <w:sz w:val="20"/>
          <w:szCs w:val="20"/>
        </w:rPr>
        <w:t>l of revenue generation, which is not assured.</w:t>
      </w:r>
    </w:p>
    <w:p w:rsidR="00000000" w:rsidRDefault="00827839">
      <w:pPr>
        <w:pStyle w:val="a3"/>
        <w:spacing w:before="360" w:beforeAutospacing="0" w:after="0" w:afterAutospacing="0"/>
        <w:jc w:val="both"/>
        <w:rPr>
          <w:b/>
          <w:bCs/>
          <w:i/>
          <w:iCs/>
          <w:sz w:val="20"/>
          <w:szCs w:val="20"/>
        </w:rPr>
      </w:pPr>
      <w:r>
        <w:rPr>
          <w:b/>
          <w:bCs/>
          <w:i/>
          <w:iCs/>
          <w:sz w:val="20"/>
          <w:szCs w:val="20"/>
        </w:rPr>
        <w:t>Our operating results and ability to generate sufficient cash flow to pay principal and interest on our indebtedness, and to pay distributions to Unitholders, may be affected by our ability to continue to cont</w:t>
      </w:r>
      <w:r>
        <w:rPr>
          <w:b/>
          <w:bCs/>
          <w:i/>
          <w:iCs/>
          <w:sz w:val="20"/>
          <w:szCs w:val="20"/>
        </w:rPr>
        <w:t>rol expenses.</w:t>
      </w:r>
    </w:p>
    <w:p w:rsidR="00000000" w:rsidRDefault="00827839">
      <w:pPr>
        <w:pStyle w:val="a3"/>
        <w:spacing w:before="120" w:beforeAutospacing="0" w:after="0" w:afterAutospacing="0"/>
        <w:ind w:firstLine="556"/>
        <w:jc w:val="both"/>
        <w:rPr>
          <w:sz w:val="20"/>
          <w:szCs w:val="20"/>
        </w:rPr>
      </w:pPr>
      <w:r>
        <w:rPr>
          <w:sz w:val="20"/>
          <w:szCs w:val="20"/>
        </w:rPr>
        <w:t>The propane and fuel oil industries are mature and highly fragmented with competition from other multi-state marketers and thousands of smaller local independent marketers.  </w:t>
      </w:r>
      <w:r>
        <w:rPr>
          <w:sz w:val="20"/>
          <w:szCs w:val="20"/>
        </w:rPr>
        <w:t>Demand for propane and fuel oil is expected to be affected by many factors beyond our control, including, but not limited to, the severity and length of weather conditions during the peak heating season, customer energy conservation driven by high energy c</w:t>
      </w:r>
      <w:r>
        <w:rPr>
          <w:sz w:val="20"/>
          <w:szCs w:val="20"/>
        </w:rPr>
        <w:t>osts and other economic factors, as well as technological advances impacting energy efficiency.  Accordingly, our propane and fuel oil sales volumes and related gross margins may be negatively affected by these factors beyond our control.  Our operating pr</w:t>
      </w:r>
      <w:r>
        <w:rPr>
          <w:sz w:val="20"/>
          <w:szCs w:val="20"/>
        </w:rPr>
        <w:t>ofits and ability to generate sufficient cash flow may depend on our ability to continue to control expenses in line with sales volumes.  We can give no assurance that we will be able to continue to control expenses to the extent necessary to reduce any ne</w:t>
      </w:r>
      <w:r>
        <w:rPr>
          <w:sz w:val="20"/>
          <w:szCs w:val="20"/>
        </w:rPr>
        <w:t>gative impact on our profitability and cash flow from these factors.</w:t>
      </w:r>
    </w:p>
    <w:p w:rsidR="00000000" w:rsidRDefault="00827839">
      <w:pPr>
        <w:pStyle w:val="a3"/>
        <w:spacing w:before="360" w:beforeAutospacing="0" w:after="0" w:afterAutospacing="0"/>
        <w:jc w:val="center"/>
        <w:rPr>
          <w:b/>
          <w:bCs/>
          <w:sz w:val="20"/>
          <w:szCs w:val="20"/>
        </w:rPr>
      </w:pPr>
      <w:r>
        <w:rPr>
          <w:b/>
          <w:bCs/>
          <w:sz w:val="20"/>
          <w:szCs w:val="20"/>
          <w:u w:val="single"/>
        </w:rPr>
        <w:t>RISKS RELATED TO OUR COMMON UNITS</w:t>
      </w:r>
    </w:p>
    <w:p w:rsidR="00000000" w:rsidRDefault="00827839">
      <w:pPr>
        <w:pStyle w:val="a3"/>
        <w:spacing w:before="240" w:beforeAutospacing="0" w:after="0" w:afterAutospacing="0"/>
        <w:jc w:val="both"/>
        <w:rPr>
          <w:b/>
          <w:bCs/>
          <w:i/>
          <w:iCs/>
          <w:sz w:val="20"/>
          <w:szCs w:val="20"/>
        </w:rPr>
      </w:pPr>
      <w:r>
        <w:rPr>
          <w:b/>
          <w:bCs/>
          <w:i/>
          <w:iCs/>
          <w:sz w:val="20"/>
          <w:szCs w:val="20"/>
        </w:rPr>
        <w:t>Cash distributions are not guaranteed and may fluctuate with our performance and other external factors.</w:t>
      </w:r>
    </w:p>
    <w:p w:rsidR="00000000" w:rsidRDefault="00827839">
      <w:pPr>
        <w:pStyle w:val="a3"/>
        <w:spacing w:before="120" w:beforeAutospacing="0" w:after="0" w:afterAutospacing="0"/>
        <w:ind w:firstLine="556"/>
        <w:jc w:val="both"/>
        <w:rPr>
          <w:sz w:val="20"/>
          <w:szCs w:val="20"/>
        </w:rPr>
      </w:pPr>
      <w:r>
        <w:rPr>
          <w:sz w:val="20"/>
          <w:szCs w:val="20"/>
        </w:rPr>
        <w:t>Cash distributions on our Common Units are not guaranteed, and depend primarily on our cash flow and our cash on hand. Because they are not directly dependent on profitability, which is affected by non-cash items, our cash distributions might be made durin</w:t>
      </w:r>
      <w:r>
        <w:rPr>
          <w:sz w:val="20"/>
          <w:szCs w:val="20"/>
        </w:rPr>
        <w:t>g periods when we record losses and might not be made during periods when we record profits.</w:t>
      </w:r>
    </w:p>
    <w:p w:rsidR="00000000" w:rsidRDefault="00827839">
      <w:pPr>
        <w:pStyle w:val="a3"/>
        <w:spacing w:before="240" w:beforeAutospacing="0" w:after="0" w:afterAutospacing="0"/>
        <w:ind w:firstLine="556"/>
        <w:jc w:val="both"/>
        <w:rPr>
          <w:sz w:val="20"/>
          <w:szCs w:val="20"/>
        </w:rPr>
      </w:pPr>
      <w:r>
        <w:rPr>
          <w:sz w:val="20"/>
          <w:szCs w:val="20"/>
        </w:rPr>
        <w:t>The amount of cash we generate may fluctuate based on our performance and other factors,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77401411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impact of the risks inherent in our business operations</w:t>
            </w:r>
            <w:r>
              <w:rPr>
                <w:sz w:val="20"/>
                <w:szCs w:val="20"/>
              </w:rPr>
              <w:t>, as described above;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required principal and interest payments on our debt and restrictions contained in our debt instruments;</w:t>
            </w:r>
          </w:p>
        </w:tc>
      </w:tr>
    </w:tbl>
    <w:p w:rsidR="00000000" w:rsidRDefault="00827839">
      <w:pPr>
        <w:divId w:val="135680526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35680526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issuances of debt and equity securities;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our ability to control expenses;</w:t>
            </w:r>
          </w:p>
        </w:tc>
      </w:tr>
    </w:tbl>
    <w:p w:rsidR="00000000" w:rsidRDefault="00827839">
      <w:pPr>
        <w:divId w:val="212507343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125073432"/>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fluctuations in working capital;</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15</w:t>
      </w:r>
    </w:p>
    <w:p w:rsidR="00000000" w:rsidRDefault="00827839">
      <w:pPr>
        <w:rPr>
          <w:rFonts w:eastAsia="Times New Roman"/>
        </w:rPr>
      </w:pPr>
      <w:r>
        <w:rPr>
          <w:rFonts w:eastAsia="Times New Roman"/>
        </w:rPr>
        <w:pict>
          <v:rect id="_x0000_i104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75998401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capital expenditures;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financial, business and other factors, a number of which may be beyond our control.</w:t>
            </w:r>
          </w:p>
        </w:tc>
      </w:tr>
    </w:tbl>
    <w:p w:rsidR="00000000" w:rsidRDefault="00827839">
      <w:pPr>
        <w:pStyle w:val="a3"/>
        <w:spacing w:before="240" w:beforeAutospacing="0" w:after="0" w:afterAutospacing="0"/>
        <w:jc w:val="both"/>
        <w:rPr>
          <w:sz w:val="20"/>
          <w:szCs w:val="20"/>
        </w:rPr>
      </w:pPr>
      <w:r>
        <w:rPr>
          <w:sz w:val="20"/>
          <w:szCs w:val="20"/>
        </w:rPr>
        <w:t xml:space="preserve">Our Partnership Agreement gives our Board of Supervisors broad discretion in establishing cash reserves for, among other things, the proper conduct of our business. These </w:t>
      </w:r>
      <w:r>
        <w:rPr>
          <w:sz w:val="20"/>
          <w:szCs w:val="20"/>
        </w:rPr>
        <w:t>cash reserves will affect the amount of cash available for distributions.</w:t>
      </w:r>
    </w:p>
    <w:p w:rsidR="00000000" w:rsidRDefault="00827839">
      <w:pPr>
        <w:pStyle w:val="a3"/>
        <w:spacing w:before="360" w:beforeAutospacing="0" w:after="0" w:afterAutospacing="0"/>
        <w:jc w:val="both"/>
        <w:rPr>
          <w:b/>
          <w:bCs/>
          <w:i/>
          <w:iCs/>
          <w:sz w:val="20"/>
          <w:szCs w:val="20"/>
        </w:rPr>
      </w:pPr>
      <w:r>
        <w:rPr>
          <w:b/>
          <w:bCs/>
          <w:i/>
          <w:iCs/>
          <w:sz w:val="20"/>
          <w:szCs w:val="20"/>
        </w:rPr>
        <w:t>Unitholders have limited voting rights.</w:t>
      </w:r>
    </w:p>
    <w:p w:rsidR="00000000" w:rsidRDefault="00827839">
      <w:pPr>
        <w:pStyle w:val="a3"/>
        <w:spacing w:before="120" w:beforeAutospacing="0" w:after="0" w:afterAutospacing="0"/>
        <w:ind w:firstLine="556"/>
        <w:jc w:val="both"/>
        <w:rPr>
          <w:sz w:val="20"/>
          <w:szCs w:val="20"/>
        </w:rPr>
      </w:pPr>
      <w:r>
        <w:rPr>
          <w:sz w:val="20"/>
          <w:szCs w:val="20"/>
        </w:rPr>
        <w:t>A Board of Supervisors governs our operations.  Unitholders have only limited voting rights on matters affecting our business, including the r</w:t>
      </w:r>
      <w:r>
        <w:rPr>
          <w:sz w:val="20"/>
          <w:szCs w:val="20"/>
        </w:rPr>
        <w:t>ight to elect the members of our Board of Supervisors every three years and the right to vote on the removal of the general partner.</w:t>
      </w:r>
    </w:p>
    <w:p w:rsidR="00000000" w:rsidRDefault="00827839">
      <w:pPr>
        <w:pStyle w:val="a3"/>
        <w:spacing w:before="360" w:beforeAutospacing="0" w:after="0" w:afterAutospacing="0"/>
        <w:jc w:val="both"/>
        <w:rPr>
          <w:b/>
          <w:bCs/>
          <w:i/>
          <w:iCs/>
          <w:sz w:val="20"/>
          <w:szCs w:val="20"/>
        </w:rPr>
      </w:pPr>
      <w:r>
        <w:rPr>
          <w:b/>
          <w:bCs/>
          <w:i/>
          <w:iCs/>
          <w:sz w:val="20"/>
          <w:szCs w:val="20"/>
        </w:rPr>
        <w:t>It may be difficult for a third party to acquire us, even if doing so would be beneficial to our Unitholders.</w:t>
      </w:r>
    </w:p>
    <w:p w:rsidR="00000000" w:rsidRDefault="00827839">
      <w:pPr>
        <w:pStyle w:val="a3"/>
        <w:spacing w:before="120" w:beforeAutospacing="0" w:after="0" w:afterAutospacing="0"/>
        <w:ind w:firstLine="556"/>
        <w:jc w:val="both"/>
        <w:rPr>
          <w:sz w:val="20"/>
          <w:szCs w:val="20"/>
        </w:rPr>
      </w:pPr>
      <w:r>
        <w:rPr>
          <w:sz w:val="20"/>
          <w:szCs w:val="20"/>
        </w:rPr>
        <w:t>Some provisio</w:t>
      </w:r>
      <w:r>
        <w:rPr>
          <w:sz w:val="20"/>
          <w:szCs w:val="20"/>
        </w:rPr>
        <w:t>ns of our Partnership Agreement may discourage, delay or prevent third parties from acquiring us, even if doing so would be beneficial to our Unitholders.  For example, our Partnership Agreement contains a provision, based on Section 203 of the Delaware Ge</w:t>
      </w:r>
      <w:r>
        <w:rPr>
          <w:sz w:val="20"/>
          <w:szCs w:val="20"/>
        </w:rPr>
        <w:t>neral Corporation Law, that generally prohibits the Partnership from engaging in a business combination with a 15% or greater Unitholder for a period of three years following the date that person or entity acquired at least 15% of our outstanding Common Un</w:t>
      </w:r>
      <w:r>
        <w:rPr>
          <w:sz w:val="20"/>
          <w:szCs w:val="20"/>
        </w:rPr>
        <w:t>its, unless certain exceptions apply.  Additionally, our Partnership Agreement sets forth advance notice procedures for a Unitholder to nominate a Supervisor to stand for election, which procedures may discourage or deter a potential acquirer from conducti</w:t>
      </w:r>
      <w:r>
        <w:rPr>
          <w:sz w:val="20"/>
          <w:szCs w:val="20"/>
        </w:rPr>
        <w:t>ng a solicitation of proxies to elect the acquirer’s own slate of Supervisors or otherwise attempting to obtain control of the Partnership.  These nomination procedures may not be revised or repealed, and inconsistent provisions may not be adopted, without</w:t>
      </w:r>
      <w:r>
        <w:rPr>
          <w:sz w:val="20"/>
          <w:szCs w:val="20"/>
        </w:rPr>
        <w:t xml:space="preserve"> the approval of the holders of at least 66-2/3% of the outstanding Common Units.  These provisions may have an anti-takeover effect with respect to transactions not approved in advance by our Board of Supervisors, including discouraging attempts that migh</w:t>
      </w:r>
      <w:r>
        <w:rPr>
          <w:sz w:val="20"/>
          <w:szCs w:val="20"/>
        </w:rPr>
        <w:t>t result in a premium over the market price of the Common Units held by our Unitholders.</w:t>
      </w:r>
    </w:p>
    <w:p w:rsidR="00000000" w:rsidRDefault="00827839">
      <w:pPr>
        <w:pStyle w:val="a3"/>
        <w:spacing w:before="360" w:beforeAutospacing="0" w:after="0" w:afterAutospacing="0"/>
        <w:jc w:val="both"/>
        <w:rPr>
          <w:b/>
          <w:bCs/>
          <w:i/>
          <w:iCs/>
          <w:sz w:val="20"/>
          <w:szCs w:val="20"/>
        </w:rPr>
      </w:pPr>
      <w:r>
        <w:rPr>
          <w:b/>
          <w:bCs/>
          <w:i/>
          <w:iCs/>
          <w:sz w:val="20"/>
          <w:szCs w:val="20"/>
        </w:rPr>
        <w:t>Unitholders may not have limited liability in some circumstances.</w:t>
      </w:r>
    </w:p>
    <w:p w:rsidR="00000000" w:rsidRDefault="00827839">
      <w:pPr>
        <w:pStyle w:val="a3"/>
        <w:spacing w:before="120" w:beforeAutospacing="0" w:after="0" w:afterAutospacing="0"/>
        <w:ind w:firstLine="556"/>
        <w:jc w:val="both"/>
        <w:rPr>
          <w:sz w:val="20"/>
          <w:szCs w:val="20"/>
        </w:rPr>
      </w:pPr>
      <w:r>
        <w:rPr>
          <w:sz w:val="20"/>
          <w:szCs w:val="20"/>
        </w:rPr>
        <w:t>A number of states have not clearly established limitations on the liabilities of limited partners fo</w:t>
      </w:r>
      <w:r>
        <w:rPr>
          <w:sz w:val="20"/>
          <w:szCs w:val="20"/>
        </w:rPr>
        <w:t>r the obligations of a limited partnership. Our Unitholders might be held liable for our obligations as if they were general partners if:</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42739632"/>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a court or government agency determined that we were conducting business in the state but had not complied with th</w:t>
            </w:r>
            <w:r>
              <w:rPr>
                <w:sz w:val="20"/>
                <w:szCs w:val="20"/>
              </w:rPr>
              <w:t>e state’s limited partnership statute; or</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Unitholders’ rights to act together to remove or replace the General Partner or take other actions under our Partnership Agreement are deemed to constitute “participation in the control” of our business for p</w:t>
            </w:r>
            <w:r>
              <w:rPr>
                <w:sz w:val="20"/>
                <w:szCs w:val="20"/>
              </w:rPr>
              <w:t>urposes of the state’s limited partnership statute.</w:t>
            </w:r>
          </w:p>
        </w:tc>
      </w:tr>
    </w:tbl>
    <w:p w:rsidR="00000000" w:rsidRDefault="00827839">
      <w:pPr>
        <w:pStyle w:val="a3"/>
        <w:spacing w:before="360" w:beforeAutospacing="0" w:after="0" w:afterAutospacing="0"/>
        <w:jc w:val="both"/>
        <w:rPr>
          <w:b/>
          <w:bCs/>
          <w:i/>
          <w:iCs/>
          <w:sz w:val="20"/>
          <w:szCs w:val="20"/>
        </w:rPr>
      </w:pPr>
      <w:r>
        <w:rPr>
          <w:b/>
          <w:bCs/>
          <w:i/>
          <w:iCs/>
          <w:sz w:val="20"/>
          <w:szCs w:val="20"/>
        </w:rPr>
        <w:t>Unitholders may have liability to repay distributions.</w:t>
      </w:r>
    </w:p>
    <w:p w:rsidR="00000000" w:rsidRDefault="00827839">
      <w:pPr>
        <w:pStyle w:val="a3"/>
        <w:spacing w:before="120" w:beforeAutospacing="0" w:after="0" w:afterAutospacing="0"/>
        <w:ind w:firstLine="556"/>
        <w:jc w:val="both"/>
        <w:rPr>
          <w:sz w:val="20"/>
          <w:szCs w:val="20"/>
        </w:rPr>
      </w:pPr>
      <w:r>
        <w:rPr>
          <w:sz w:val="20"/>
          <w:szCs w:val="20"/>
        </w:rPr>
        <w:t>Unitholders will not be liable for assessments in addition to their initial capital investment in the Common Units. Under specific circumstances, however, Unitholders may have to repay to us amounts wrongfully returned or distributed to them. Under Delawar</w:t>
      </w:r>
      <w:r>
        <w:rPr>
          <w:sz w:val="20"/>
          <w:szCs w:val="20"/>
        </w:rPr>
        <w:t>e law, we may not make a distribution to Unitholders if the distribution causes our liabilities to exceed the fair value of our assets. Liabilities to partners on account of their partnership interests and nonrecourse liabilities are not counted for purpos</w:t>
      </w:r>
      <w:r>
        <w:rPr>
          <w:sz w:val="20"/>
          <w:szCs w:val="20"/>
        </w:rPr>
        <w:t xml:space="preserve">es of determining whether a distribution is permitted. Delaware law provides that a limited partner who receives a distribution of this kind and knew at the time of the distribution that the distribution violated Delaware law will be liable to the limited </w:t>
      </w:r>
      <w:r>
        <w:rPr>
          <w:sz w:val="20"/>
          <w:szCs w:val="20"/>
        </w:rPr>
        <w:t>partnership for the distribution amount for three years from the distribution date. Under Delaware law, an assignee who becomes a substituted limited partner of a limited partnership is liable for the obligations of the assignor to make contributions to th</w:t>
      </w:r>
      <w:r>
        <w:rPr>
          <w:sz w:val="20"/>
          <w:szCs w:val="20"/>
        </w:rPr>
        <w:t>e partnership. However, such an assignee is not obligated for liabilities unknown to him at the time he or she became a limited partner if the liabilities could not be determined from the partnership agreement.</w:t>
      </w:r>
    </w:p>
    <w:p w:rsidR="00000000" w:rsidRDefault="00827839">
      <w:pPr>
        <w:pStyle w:val="a3"/>
        <w:spacing w:before="360" w:beforeAutospacing="0" w:after="0" w:afterAutospacing="0"/>
        <w:jc w:val="both"/>
        <w:rPr>
          <w:b/>
          <w:bCs/>
          <w:i/>
          <w:iCs/>
          <w:sz w:val="20"/>
          <w:szCs w:val="20"/>
        </w:rPr>
      </w:pPr>
      <w:r>
        <w:rPr>
          <w:b/>
          <w:bCs/>
          <w:i/>
          <w:iCs/>
          <w:sz w:val="20"/>
          <w:szCs w:val="20"/>
        </w:rPr>
        <w:t>Our limited partner interest and Unitholders’</w:t>
      </w:r>
      <w:r>
        <w:rPr>
          <w:b/>
          <w:bCs/>
          <w:i/>
          <w:iCs/>
          <w:sz w:val="20"/>
          <w:szCs w:val="20"/>
        </w:rPr>
        <w:t xml:space="preserve"> percentage of ownership may be diluted in the future and additional taxable income may be allocated to each Unitholder.</w:t>
      </w:r>
    </w:p>
    <w:p w:rsidR="00000000" w:rsidRDefault="00827839">
      <w:pPr>
        <w:pStyle w:val="a3"/>
        <w:spacing w:before="120" w:beforeAutospacing="0" w:after="0" w:afterAutospacing="0"/>
        <w:ind w:firstLine="556"/>
        <w:jc w:val="both"/>
        <w:rPr>
          <w:sz w:val="20"/>
          <w:szCs w:val="20"/>
        </w:rPr>
      </w:pPr>
      <w:r>
        <w:rPr>
          <w:sz w:val="20"/>
          <w:szCs w:val="20"/>
        </w:rPr>
        <w:t>Our Partnership Agreement generally allows us to issue additional limited partner interests and other equity securities without the app</w:t>
      </w:r>
      <w:r>
        <w:rPr>
          <w:sz w:val="20"/>
          <w:szCs w:val="20"/>
        </w:rPr>
        <w:t xml:space="preserve">roval of our Unitholders. Therefore, when we issue additional Common Units or securities ranking above or on a parity with the Common Units, each Unitholder’s partnership interest will be diluted proportionately, and the amount of cash distributed on each </w:t>
      </w:r>
      <w:r>
        <w:rPr>
          <w:sz w:val="20"/>
          <w:szCs w:val="20"/>
        </w:rPr>
        <w:t xml:space="preserve">Common Unit and the market price of Common Units could decrease. Similarly, our Unitholders’ percentage of ownership may be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16</w:t>
      </w:r>
    </w:p>
    <w:p w:rsidR="00000000" w:rsidRDefault="00827839">
      <w:pPr>
        <w:rPr>
          <w:rFonts w:eastAsia="Times New Roman"/>
        </w:rPr>
      </w:pPr>
      <w:r>
        <w:rPr>
          <w:rFonts w:eastAsia="Times New Roman"/>
        </w:rPr>
        <w:pict>
          <v:rect id="_x0000_i104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20" w:beforeAutospacing="0" w:after="0" w:afterAutospacing="0"/>
        <w:jc w:val="both"/>
        <w:rPr>
          <w:sz w:val="20"/>
          <w:szCs w:val="20"/>
        </w:rPr>
      </w:pPr>
      <w:r>
        <w:rPr>
          <w:sz w:val="20"/>
          <w:szCs w:val="20"/>
        </w:rPr>
        <w:t>diluted in the future due to e</w:t>
      </w:r>
      <w:r>
        <w:rPr>
          <w:sz w:val="20"/>
          <w:szCs w:val="20"/>
        </w:rPr>
        <w:t xml:space="preserve">quity issuances or equity awards that we have granted or will grant to our supervisors, officers and employees.  In addition, we have engaged in and may continue to undertake acquisitions financed in part through public or private offerings of securities, </w:t>
      </w:r>
      <w:r>
        <w:rPr>
          <w:sz w:val="20"/>
          <w:szCs w:val="20"/>
        </w:rPr>
        <w:t>or other arrangements.  The issuance of additional Common Units will also diminish the relative voting strength of each previously outstanding Common Unit. In addition, the issuance of additional Common Units, or other equity securities, will, over time, r</w:t>
      </w:r>
      <w:r>
        <w:rPr>
          <w:sz w:val="20"/>
          <w:szCs w:val="20"/>
        </w:rPr>
        <w:t>esult in the allocation of additional taxable income, representing built-in gains at the time of the new issuance, to those Unitholders that existed prior to the new issuance.</w:t>
      </w:r>
    </w:p>
    <w:p w:rsidR="00000000" w:rsidRDefault="00827839">
      <w:pPr>
        <w:pStyle w:val="a3"/>
        <w:spacing w:before="360" w:beforeAutospacing="0" w:after="0" w:afterAutospacing="0"/>
        <w:jc w:val="center"/>
        <w:rPr>
          <w:b/>
          <w:bCs/>
          <w:sz w:val="20"/>
          <w:szCs w:val="20"/>
        </w:rPr>
      </w:pPr>
      <w:r>
        <w:rPr>
          <w:b/>
          <w:bCs/>
          <w:sz w:val="20"/>
          <w:szCs w:val="20"/>
          <w:u w:val="single"/>
        </w:rPr>
        <w:t>TAX RISKS TO OUR UNITHOLDERS</w:t>
      </w:r>
    </w:p>
    <w:p w:rsidR="00000000" w:rsidRDefault="00827839">
      <w:pPr>
        <w:pStyle w:val="a3"/>
        <w:spacing w:before="240" w:beforeAutospacing="0" w:after="0" w:afterAutospacing="0"/>
        <w:jc w:val="both"/>
        <w:rPr>
          <w:b/>
          <w:bCs/>
          <w:i/>
          <w:iCs/>
          <w:sz w:val="20"/>
          <w:szCs w:val="20"/>
        </w:rPr>
      </w:pPr>
      <w:r>
        <w:rPr>
          <w:b/>
          <w:bCs/>
          <w:i/>
          <w:iCs/>
          <w:sz w:val="20"/>
          <w:szCs w:val="20"/>
        </w:rPr>
        <w:t>Our tax treatment depends on our status as a partne</w:t>
      </w:r>
      <w:r>
        <w:rPr>
          <w:b/>
          <w:bCs/>
          <w:i/>
          <w:iCs/>
          <w:sz w:val="20"/>
          <w:szCs w:val="20"/>
        </w:rPr>
        <w:t>rship for U.S. federal income tax purposes. The Internal Revenue Service (“IRS”) could treat us as a corporation, which would substantially reduce the cash available for distribution to Unitholders.</w:t>
      </w:r>
    </w:p>
    <w:p w:rsidR="00000000" w:rsidRDefault="00827839">
      <w:pPr>
        <w:pStyle w:val="a3"/>
        <w:spacing w:before="120" w:beforeAutospacing="0" w:after="0" w:afterAutospacing="0"/>
        <w:ind w:firstLine="556"/>
        <w:jc w:val="both"/>
        <w:rPr>
          <w:sz w:val="20"/>
          <w:szCs w:val="20"/>
        </w:rPr>
      </w:pPr>
      <w:r>
        <w:rPr>
          <w:sz w:val="20"/>
          <w:szCs w:val="20"/>
        </w:rPr>
        <w:t>The anticipated after-tax economic benefit of an investment in our Common Units depends largely on our being treated as a partnership for U.S. federal income tax purposes. If less than 90% of the gross income of a publicly traded partnership, such as Subur</w:t>
      </w:r>
      <w:r>
        <w:rPr>
          <w:sz w:val="20"/>
          <w:szCs w:val="20"/>
        </w:rPr>
        <w:t>ban Propane Partners, L.P., for any taxable year is “qualifying income” within the meaning of Section 7704 of the Internal Revenue Code, that partnership will be taxable as a corporation for U.S. federal income tax purposes for that taxable year and all su</w:t>
      </w:r>
      <w:r>
        <w:rPr>
          <w:sz w:val="20"/>
          <w:szCs w:val="20"/>
        </w:rPr>
        <w:t>bsequent years.</w:t>
      </w:r>
    </w:p>
    <w:p w:rsidR="00000000" w:rsidRDefault="00827839">
      <w:pPr>
        <w:pStyle w:val="a3"/>
        <w:spacing w:before="240" w:beforeAutospacing="0" w:after="0" w:afterAutospacing="0"/>
        <w:ind w:firstLine="556"/>
        <w:jc w:val="both"/>
        <w:rPr>
          <w:sz w:val="20"/>
          <w:szCs w:val="20"/>
        </w:rPr>
      </w:pPr>
      <w:r>
        <w:rPr>
          <w:sz w:val="20"/>
          <w:szCs w:val="20"/>
        </w:rPr>
        <w:t xml:space="preserve">If we were treated as a corporation for U.S. federal income tax purposes, then we would pay U.S. federal income tax on our net income at the corporate tax rate, which is currently a maximum of 21%, and would likely pay additional state and </w:t>
      </w:r>
      <w:r>
        <w:rPr>
          <w:sz w:val="20"/>
          <w:szCs w:val="20"/>
        </w:rPr>
        <w:t>local income and franchise tax at varying rates. Because a tax would be imposed upon us as a corporation, our cash available for distribution to Unitholders would be substantially reduced. Treatment of us as a corporation would result in a material reducti</w:t>
      </w:r>
      <w:r>
        <w:rPr>
          <w:sz w:val="20"/>
          <w:szCs w:val="20"/>
        </w:rPr>
        <w:t>on in the anticipated cash flow and after-tax return to Unitholders and thus would likely result in a substantial reduction in the value of our Common Units.</w:t>
      </w:r>
    </w:p>
    <w:p w:rsidR="00000000" w:rsidRDefault="00827839">
      <w:pPr>
        <w:pStyle w:val="a3"/>
        <w:spacing w:before="360" w:beforeAutospacing="0" w:after="0" w:afterAutospacing="0"/>
        <w:jc w:val="both"/>
        <w:rPr>
          <w:b/>
          <w:bCs/>
          <w:i/>
          <w:iCs/>
          <w:sz w:val="20"/>
          <w:szCs w:val="20"/>
        </w:rPr>
      </w:pPr>
      <w:r>
        <w:rPr>
          <w:b/>
          <w:bCs/>
          <w:i/>
          <w:iCs/>
          <w:sz w:val="20"/>
          <w:szCs w:val="20"/>
        </w:rPr>
        <w:t>The tax treatment of publicly traded partnerships or an investment in our Common Units could be su</w:t>
      </w:r>
      <w:r>
        <w:rPr>
          <w:b/>
          <w:bCs/>
          <w:i/>
          <w:iCs/>
          <w:sz w:val="20"/>
          <w:szCs w:val="20"/>
        </w:rPr>
        <w:t>bject to potential legislative, judicial or administrative changes and differing interpretations thereof, possibly on a retroactive basis.</w:t>
      </w:r>
    </w:p>
    <w:p w:rsidR="00000000" w:rsidRDefault="00827839">
      <w:pPr>
        <w:pStyle w:val="a3"/>
        <w:spacing w:before="120" w:beforeAutospacing="0" w:after="0" w:afterAutospacing="0"/>
        <w:ind w:firstLine="556"/>
        <w:jc w:val="both"/>
        <w:rPr>
          <w:sz w:val="20"/>
          <w:szCs w:val="20"/>
        </w:rPr>
      </w:pPr>
      <w:r>
        <w:rPr>
          <w:sz w:val="20"/>
          <w:szCs w:val="20"/>
        </w:rPr>
        <w:t>The present U.S. federal income tax treatment of publicly traded partnerships, including Suburban Propane Partners, L</w:t>
      </w:r>
      <w:r>
        <w:rPr>
          <w:sz w:val="20"/>
          <w:szCs w:val="20"/>
        </w:rPr>
        <w:t>.P., or an investment in our Common Units may be modified by legislative, judicial or administrative changes and differing interpretations thereof at any time. Any modification to the U.S. federal income tax laws or interpretations thereof may or may not b</w:t>
      </w:r>
      <w:r>
        <w:rPr>
          <w:sz w:val="20"/>
          <w:szCs w:val="20"/>
        </w:rPr>
        <w:t>e applied retroactively.  Moreover, any such modification could make it more difficult or impossible for us to meet the exception that allows publicly traded partnerships that generate qualifying income to be treated as partnerships (rather than as corpora</w:t>
      </w:r>
      <w:r>
        <w:rPr>
          <w:sz w:val="20"/>
          <w:szCs w:val="20"/>
        </w:rPr>
        <w:t>tions) for U.S. federal income tax purposes, affect or cause us to change our business activities, or affect the tax consequences of an investment in our Common Units.</w:t>
      </w:r>
    </w:p>
    <w:p w:rsidR="00000000" w:rsidRDefault="00827839">
      <w:pPr>
        <w:pStyle w:val="a3"/>
        <w:spacing w:before="240" w:beforeAutospacing="0" w:after="0" w:afterAutospacing="0"/>
        <w:ind w:firstLine="556"/>
        <w:jc w:val="both"/>
        <w:rPr>
          <w:sz w:val="20"/>
          <w:szCs w:val="20"/>
        </w:rPr>
      </w:pPr>
      <w:r>
        <w:rPr>
          <w:sz w:val="20"/>
          <w:szCs w:val="20"/>
        </w:rPr>
        <w:t>In addition, because of widespread state budget deficits and other reasons, several stat</w:t>
      </w:r>
      <w:r>
        <w:rPr>
          <w:sz w:val="20"/>
          <w:szCs w:val="20"/>
        </w:rPr>
        <w:t>es are evaluating ways to subject partnerships to entity-level taxation through the imposition of state income, franchise and other forms of taxation.</w:t>
      </w:r>
    </w:p>
    <w:p w:rsidR="00000000" w:rsidRDefault="00827839">
      <w:pPr>
        <w:pStyle w:val="a3"/>
        <w:spacing w:before="360" w:beforeAutospacing="0" w:after="0" w:afterAutospacing="0"/>
        <w:jc w:val="both"/>
        <w:rPr>
          <w:b/>
          <w:bCs/>
          <w:i/>
          <w:iCs/>
          <w:sz w:val="20"/>
          <w:szCs w:val="20"/>
        </w:rPr>
      </w:pPr>
      <w:r>
        <w:rPr>
          <w:b/>
          <w:bCs/>
          <w:i/>
          <w:iCs/>
          <w:sz w:val="20"/>
          <w:szCs w:val="20"/>
        </w:rPr>
        <w:t xml:space="preserve">If the IRS makes audit adjustments to our income tax returns for tax years beginning after 2017, it (and </w:t>
      </w:r>
      <w:r>
        <w:rPr>
          <w:b/>
          <w:bCs/>
          <w:i/>
          <w:iCs/>
          <w:sz w:val="20"/>
          <w:szCs w:val="20"/>
        </w:rPr>
        <w:t>some states) may collect any resulting taxes (including any applicable penalties and interest) directly from the Partnership, in which case cash available to service debt or to pay distributions to our Unitholders, could be substantially reduced.</w:t>
      </w:r>
    </w:p>
    <w:p w:rsidR="00000000" w:rsidRDefault="00827839">
      <w:pPr>
        <w:pStyle w:val="a3"/>
        <w:spacing w:before="120" w:beforeAutospacing="0" w:after="0" w:afterAutospacing="0"/>
        <w:ind w:firstLine="556"/>
        <w:jc w:val="both"/>
        <w:rPr>
          <w:sz w:val="20"/>
          <w:szCs w:val="20"/>
        </w:rPr>
      </w:pPr>
      <w:r>
        <w:rPr>
          <w:sz w:val="20"/>
          <w:szCs w:val="20"/>
        </w:rPr>
        <w:t xml:space="preserve">Pursuant </w:t>
      </w:r>
      <w:r>
        <w:rPr>
          <w:sz w:val="20"/>
          <w:szCs w:val="20"/>
        </w:rPr>
        <w:t>to the Bipartisan Budget Act of 2015, if the IRS makes audit adjustments to our income tax returns for tax years beginning after 2017, it may collect any resulting taxes (including any applicable penalties and interest) directly from us.  We will generally</w:t>
      </w:r>
      <w:r>
        <w:rPr>
          <w:sz w:val="20"/>
          <w:szCs w:val="20"/>
        </w:rPr>
        <w:t xml:space="preserve"> have the ability to allocate any such tax liability to our current and former Unitholders in accordance with their interests in us during the year under audit. However, we may not be able to (or may not choose to) so allocate that tax liability, and may n</w:t>
      </w:r>
      <w:r>
        <w:rPr>
          <w:sz w:val="20"/>
          <w:szCs w:val="20"/>
        </w:rPr>
        <w:t>ot be able to (or may choose not to) similarly allocate state income or similar tax liability resulting from adjustments in states in which we do business in the year under audit or in the adjustment year; accordingly, our current Unitholders may bear some</w:t>
      </w:r>
      <w:r>
        <w:rPr>
          <w:sz w:val="20"/>
          <w:szCs w:val="20"/>
        </w:rPr>
        <w:t xml:space="preserve"> or all of the audit adjustment, even if such Unitholders did not own units during the tax year under audit.  If we make payments of taxes, penalties and interest resulting from audit adjustments, cash available to service debt or to make distributions to </w:t>
      </w:r>
      <w:r>
        <w:rPr>
          <w:sz w:val="20"/>
          <w:szCs w:val="20"/>
        </w:rPr>
        <w:t>our Unitholders could be reduced.</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17</w:t>
      </w:r>
    </w:p>
    <w:p w:rsidR="00000000" w:rsidRDefault="00827839">
      <w:pPr>
        <w:rPr>
          <w:rFonts w:eastAsia="Times New Roman"/>
        </w:rPr>
      </w:pPr>
      <w:r>
        <w:rPr>
          <w:rFonts w:eastAsia="Times New Roman"/>
        </w:rPr>
        <w:pict>
          <v:rect id="_x0000_i104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i/>
          <w:iCs/>
          <w:sz w:val="20"/>
          <w:szCs w:val="20"/>
        </w:rPr>
      </w:pPr>
      <w:r>
        <w:rPr>
          <w:b/>
          <w:bCs/>
          <w:i/>
          <w:iCs/>
          <w:sz w:val="20"/>
          <w:szCs w:val="20"/>
        </w:rPr>
        <w:t>A successful IRS contest of the U.S. federal income tax positions we take may adversely affect the market for our Common Units, and the cost of any IRS contest will reduce our cash available for distribution to our Unitholders.</w:t>
      </w:r>
    </w:p>
    <w:p w:rsidR="00000000" w:rsidRDefault="00827839">
      <w:pPr>
        <w:pStyle w:val="a3"/>
        <w:spacing w:before="120" w:beforeAutospacing="0" w:after="0" w:afterAutospacing="0"/>
        <w:ind w:firstLine="556"/>
        <w:jc w:val="both"/>
        <w:rPr>
          <w:sz w:val="20"/>
          <w:szCs w:val="20"/>
        </w:rPr>
      </w:pPr>
      <w:r>
        <w:rPr>
          <w:sz w:val="20"/>
          <w:szCs w:val="20"/>
        </w:rPr>
        <w:t>We have not requested a ruli</w:t>
      </w:r>
      <w:r>
        <w:rPr>
          <w:sz w:val="20"/>
          <w:szCs w:val="20"/>
        </w:rPr>
        <w:t>ng from the IRS with respect to our treatment as a partnership for U.S. federal income tax purposes or any other matter affecting us. The IRS may adopt positions that differ from the positions we take. It may be necessary to resort to administrative or cou</w:t>
      </w:r>
      <w:r>
        <w:rPr>
          <w:sz w:val="20"/>
          <w:szCs w:val="20"/>
        </w:rPr>
        <w:t>rt proceedings to sustain some or all of the positions we take. A court may not agree with the positions we take. Any contest with the IRS may materially and adversely impact the market for our Common Units and the price at which they trade. In addition, o</w:t>
      </w:r>
      <w:r>
        <w:rPr>
          <w:sz w:val="20"/>
          <w:szCs w:val="20"/>
        </w:rPr>
        <w:t>ur costs of any contest with the IRS will be borne indirectly by our Unitholders because the costs will reduce our cash available for distribution.</w:t>
      </w:r>
    </w:p>
    <w:p w:rsidR="00000000" w:rsidRDefault="00827839">
      <w:pPr>
        <w:pStyle w:val="a3"/>
        <w:spacing w:before="360" w:beforeAutospacing="0" w:after="0" w:afterAutospacing="0"/>
        <w:jc w:val="both"/>
        <w:rPr>
          <w:b/>
          <w:bCs/>
          <w:i/>
          <w:iCs/>
          <w:sz w:val="20"/>
          <w:szCs w:val="20"/>
        </w:rPr>
      </w:pPr>
      <w:r>
        <w:rPr>
          <w:b/>
          <w:bCs/>
          <w:i/>
          <w:iCs/>
          <w:sz w:val="20"/>
          <w:szCs w:val="20"/>
        </w:rPr>
        <w:t>A Unitholder’s tax liability could exceed cash distributions on its Common Units.</w:t>
      </w:r>
    </w:p>
    <w:p w:rsidR="00000000" w:rsidRDefault="00827839">
      <w:pPr>
        <w:pStyle w:val="a3"/>
        <w:spacing w:before="120" w:beforeAutospacing="0" w:after="0" w:afterAutospacing="0"/>
        <w:ind w:firstLine="556"/>
        <w:jc w:val="both"/>
        <w:rPr>
          <w:sz w:val="20"/>
          <w:szCs w:val="20"/>
        </w:rPr>
      </w:pPr>
      <w:r>
        <w:rPr>
          <w:sz w:val="20"/>
          <w:szCs w:val="20"/>
        </w:rPr>
        <w:t>Because our Unitholders ar</w:t>
      </w:r>
      <w:r>
        <w:rPr>
          <w:sz w:val="20"/>
          <w:szCs w:val="20"/>
        </w:rPr>
        <w:t>e treated as partners, a Unitholder is required to pay U.S. federal income taxes and state and local income taxes on its allocable share of our income, without regard to whether we make cash distributions to the Unitholder.  We cannot guarantee that a Unit</w:t>
      </w:r>
      <w:r>
        <w:rPr>
          <w:sz w:val="20"/>
          <w:szCs w:val="20"/>
        </w:rPr>
        <w:t>holder will receive cash distributions equal to its allocable share of our taxable income or even the tax liability to it resulting from that income.</w:t>
      </w:r>
    </w:p>
    <w:p w:rsidR="00000000" w:rsidRDefault="00827839">
      <w:pPr>
        <w:pStyle w:val="a3"/>
        <w:spacing w:before="360" w:beforeAutospacing="0" w:after="0" w:afterAutospacing="0"/>
        <w:jc w:val="both"/>
        <w:rPr>
          <w:b/>
          <w:bCs/>
          <w:i/>
          <w:iCs/>
          <w:sz w:val="20"/>
          <w:szCs w:val="20"/>
        </w:rPr>
      </w:pPr>
      <w:r>
        <w:rPr>
          <w:b/>
          <w:bCs/>
          <w:i/>
          <w:iCs/>
          <w:sz w:val="20"/>
          <w:szCs w:val="20"/>
        </w:rPr>
        <w:t>Ownership of Common Units may have adverse tax consequences for tax-exempt organizations and foreign inves</w:t>
      </w:r>
      <w:r>
        <w:rPr>
          <w:b/>
          <w:bCs/>
          <w:i/>
          <w:iCs/>
          <w:sz w:val="20"/>
          <w:szCs w:val="20"/>
        </w:rPr>
        <w:t>tors.</w:t>
      </w:r>
    </w:p>
    <w:p w:rsidR="00000000" w:rsidRDefault="00827839">
      <w:pPr>
        <w:pStyle w:val="a3"/>
        <w:spacing w:before="120" w:beforeAutospacing="0" w:after="0" w:afterAutospacing="0"/>
        <w:ind w:firstLine="556"/>
        <w:jc w:val="both"/>
        <w:rPr>
          <w:sz w:val="20"/>
          <w:szCs w:val="20"/>
        </w:rPr>
      </w:pPr>
      <w:r>
        <w:rPr>
          <w:sz w:val="20"/>
          <w:szCs w:val="20"/>
        </w:rPr>
        <w:t>Investment in Common Units by certain tax-exempt entities and foreign persons raises issues specific to them. For example, virtually all of our taxable income allocated to organizations exempt from U.S. federal income tax, including individual retire</w:t>
      </w:r>
      <w:r>
        <w:rPr>
          <w:sz w:val="20"/>
          <w:szCs w:val="20"/>
        </w:rPr>
        <w:t>ment accounts and other retirement plans, will be unrelated business taxable income and thus will be taxable to them. Further, with respect to taxable years beginning after December 31, 2017, a tax-exempt entity with more than one unrelated trade or busine</w:t>
      </w:r>
      <w:r>
        <w:rPr>
          <w:sz w:val="20"/>
          <w:szCs w:val="20"/>
        </w:rPr>
        <w:t>ss (including by attribution from an investment in a partnership such as ours that is engaged in one or more unrelated trades or businesses) is required to compute the unrelated business taxable income of such tax-exempt entity separately with respect to e</w:t>
      </w:r>
      <w:r>
        <w:rPr>
          <w:sz w:val="20"/>
          <w:szCs w:val="20"/>
        </w:rPr>
        <w:t>ach such trade or business (including for purposes of determining any net operating loss deduction).  As a result, for taxable years beginning after December 31, 2017, it may not be possible for tax-exempt entities to utilize losses from an investment in o</w:t>
      </w:r>
      <w:r>
        <w:rPr>
          <w:sz w:val="20"/>
          <w:szCs w:val="20"/>
        </w:rPr>
        <w:t>ur partnership to offset unrelated business taxable income from another unrelated trade or business and vice versa.</w:t>
      </w:r>
    </w:p>
    <w:p w:rsidR="00000000" w:rsidRDefault="00827839">
      <w:pPr>
        <w:pStyle w:val="a3"/>
        <w:spacing w:before="240" w:beforeAutospacing="0" w:after="0" w:afterAutospacing="0"/>
        <w:ind w:firstLine="556"/>
        <w:jc w:val="both"/>
        <w:rPr>
          <w:sz w:val="20"/>
          <w:szCs w:val="20"/>
        </w:rPr>
      </w:pPr>
      <w:r>
        <w:rPr>
          <w:sz w:val="20"/>
          <w:szCs w:val="20"/>
        </w:rPr>
        <w:t>Distributions to foreign persons will be reduced by withholding taxes at the highest applicable effective tax rate, and foreign persons will</w:t>
      </w:r>
      <w:r>
        <w:rPr>
          <w:sz w:val="20"/>
          <w:szCs w:val="20"/>
        </w:rPr>
        <w:t xml:space="preserve"> be required to file U.S. federal income tax returns and pay tax on their share of our taxable income. A foreign person who sells or otherwise disposes of a Common Unit will also be subject to U.S. federal income tax on the gain realized from the sale or d</w:t>
      </w:r>
      <w:r>
        <w:rPr>
          <w:sz w:val="20"/>
          <w:szCs w:val="20"/>
        </w:rPr>
        <w:t>isposition of that Common Unit.  The Tax Cuts and Jobs Act imposes a 10% withholding tax on the amount realized on the disposition of a partnership interest by a foreign person if any gain on the transfer of such interest would be treated as giving rise to</w:t>
      </w:r>
      <w:r>
        <w:rPr>
          <w:sz w:val="20"/>
          <w:szCs w:val="20"/>
        </w:rPr>
        <w:t xml:space="preserve"> effectively connected income.   Such withholding tax obligation is currently suspended in the case of a disposition of certain publicly traded partnership interests until further guidance is provided.</w:t>
      </w:r>
    </w:p>
    <w:p w:rsidR="00000000" w:rsidRDefault="00827839">
      <w:pPr>
        <w:pStyle w:val="a3"/>
        <w:spacing w:before="360" w:beforeAutospacing="0" w:after="0" w:afterAutospacing="0"/>
        <w:jc w:val="both"/>
        <w:rPr>
          <w:b/>
          <w:bCs/>
          <w:i/>
          <w:iCs/>
          <w:sz w:val="20"/>
          <w:szCs w:val="20"/>
        </w:rPr>
      </w:pPr>
      <w:r>
        <w:rPr>
          <w:b/>
          <w:bCs/>
          <w:i/>
          <w:iCs/>
          <w:sz w:val="20"/>
          <w:szCs w:val="20"/>
        </w:rPr>
        <w:t>The ability of a Unitholder to deduct its share of our losses may be limited.</w:t>
      </w:r>
    </w:p>
    <w:p w:rsidR="00000000" w:rsidRDefault="00827839">
      <w:pPr>
        <w:pStyle w:val="a3"/>
        <w:spacing w:before="120" w:beforeAutospacing="0" w:after="0" w:afterAutospacing="0"/>
        <w:ind w:firstLine="556"/>
        <w:jc w:val="both"/>
        <w:rPr>
          <w:sz w:val="20"/>
          <w:szCs w:val="20"/>
        </w:rPr>
      </w:pPr>
      <w:r>
        <w:rPr>
          <w:sz w:val="20"/>
          <w:szCs w:val="20"/>
        </w:rPr>
        <w:t>Various limitations may apply to the ability of a Unitholder to deduct its share of our losses. For example, in the case of taxpayers subject to the passive activity loss rules (</w:t>
      </w:r>
      <w:r>
        <w:rPr>
          <w:sz w:val="20"/>
          <w:szCs w:val="20"/>
        </w:rPr>
        <w:t>generally, individuals and closely held corporations), any losses generated by us will only be available to offset our future income and cannot be used to offset income from other activities, including other passive activities or investments. Such unused l</w:t>
      </w:r>
      <w:r>
        <w:rPr>
          <w:sz w:val="20"/>
          <w:szCs w:val="20"/>
        </w:rPr>
        <w:t xml:space="preserve">osses may be deducted when the Unitholder disposes of its entire investment in us in a fully taxable transaction with an unrelated party, such as a sale by a Unitholder of all of its Common Units in the open market. A Unitholder’s share of any net passive </w:t>
      </w:r>
      <w:r>
        <w:rPr>
          <w:sz w:val="20"/>
          <w:szCs w:val="20"/>
        </w:rPr>
        <w:t>income may be offset by unused losses from us carried over from prior years, but not by losses from other passive activities, including losses from other publicly-traded partnerships.</w:t>
      </w:r>
    </w:p>
    <w:p w:rsidR="00000000" w:rsidRDefault="00827839">
      <w:pPr>
        <w:pStyle w:val="a3"/>
        <w:spacing w:before="360" w:beforeAutospacing="0" w:after="0" w:afterAutospacing="0"/>
        <w:jc w:val="both"/>
        <w:rPr>
          <w:b/>
          <w:bCs/>
          <w:i/>
          <w:iCs/>
          <w:sz w:val="20"/>
          <w:szCs w:val="20"/>
        </w:rPr>
      </w:pPr>
      <w:r>
        <w:rPr>
          <w:b/>
          <w:bCs/>
          <w:i/>
          <w:iCs/>
          <w:sz w:val="20"/>
          <w:szCs w:val="20"/>
        </w:rPr>
        <w:t>The tax gain or loss on the disposition of Common Units could be differe</w:t>
      </w:r>
      <w:r>
        <w:rPr>
          <w:b/>
          <w:bCs/>
          <w:i/>
          <w:iCs/>
          <w:sz w:val="20"/>
          <w:szCs w:val="20"/>
        </w:rPr>
        <w:t>nt than expected.</w:t>
      </w:r>
    </w:p>
    <w:p w:rsidR="00000000" w:rsidRDefault="00827839">
      <w:pPr>
        <w:pStyle w:val="a3"/>
        <w:spacing w:before="120" w:beforeAutospacing="0" w:after="0" w:afterAutospacing="0"/>
        <w:ind w:firstLine="556"/>
        <w:jc w:val="both"/>
        <w:rPr>
          <w:sz w:val="20"/>
          <w:szCs w:val="20"/>
        </w:rPr>
      </w:pPr>
      <w:r>
        <w:rPr>
          <w:sz w:val="20"/>
          <w:szCs w:val="20"/>
        </w:rPr>
        <w:t>A Unitholder who sells Common Units will recognize a gain or loss equal to the difference between the amount realized and its adjusted tax basis in the Common Units. Prior distributions in excess of cumulative net taxable income allocated</w:t>
      </w:r>
      <w:r>
        <w:rPr>
          <w:sz w:val="20"/>
          <w:szCs w:val="20"/>
        </w:rPr>
        <w:t xml:space="preserve"> to a Common Unit which decreased a Unitholder’s tax basis in that Common Unit will, in effect, become taxable income if the Common Unit is sold at a price greater than the Unitholder’s tax basis in that Common Unit, even if the price is less than the orig</w:t>
      </w:r>
      <w:r>
        <w:rPr>
          <w:sz w:val="20"/>
          <w:szCs w:val="20"/>
        </w:rPr>
        <w:t>inal cost of the Common Unit. A portion of the amount realized, if the amount realized exceeds the Unitholder’s adjusted basis in that Common Unit, will likely be characterized as ordinary income. Furthermore, should the IRS successfully contest some conve</w:t>
      </w:r>
      <w:r>
        <w:rPr>
          <w:sz w:val="20"/>
          <w:szCs w:val="20"/>
        </w:rPr>
        <w:t xml:space="preserve">ntions used by us, a Unitholder could recognize more gain on the sale of Common Units than would be the case under those conventions, without the benefit of decreased income in prior years.  In addition, because the amount realized will include a holder’s </w:t>
      </w:r>
      <w:r>
        <w:rPr>
          <w:sz w:val="20"/>
          <w:szCs w:val="20"/>
        </w:rPr>
        <w:t>share of our nonrecourse liabilities, if a Unitholder sells its Common Units, such Unitholder may incur a tax liability in excess of the amount of cash it receives from the sale.</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18</w:t>
      </w:r>
    </w:p>
    <w:p w:rsidR="00000000" w:rsidRDefault="00827839">
      <w:pPr>
        <w:rPr>
          <w:rFonts w:eastAsia="Times New Roman"/>
        </w:rPr>
      </w:pPr>
      <w:r>
        <w:rPr>
          <w:rFonts w:eastAsia="Times New Roman"/>
        </w:rPr>
        <w:pict>
          <v:rect id="_x0000_i104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i/>
          <w:iCs/>
          <w:sz w:val="20"/>
          <w:szCs w:val="20"/>
        </w:rPr>
      </w:pPr>
      <w:r>
        <w:rPr>
          <w:b/>
          <w:bCs/>
          <w:i/>
          <w:iCs/>
          <w:sz w:val="20"/>
          <w:szCs w:val="20"/>
        </w:rPr>
        <w:t>Reporting of partnership tax information is complicated and subject to audits.</w:t>
      </w:r>
    </w:p>
    <w:p w:rsidR="00000000" w:rsidRDefault="00827839">
      <w:pPr>
        <w:pStyle w:val="a3"/>
        <w:spacing w:before="120" w:beforeAutospacing="0" w:after="0" w:afterAutospacing="0"/>
        <w:ind w:firstLine="556"/>
        <w:jc w:val="both"/>
        <w:rPr>
          <w:sz w:val="20"/>
          <w:szCs w:val="20"/>
        </w:rPr>
      </w:pPr>
      <w:r>
        <w:rPr>
          <w:sz w:val="20"/>
          <w:szCs w:val="20"/>
        </w:rPr>
        <w:t>We intend to furnish to each Unitholder, within 90 days after the close of each calendar year, specific tax information, including a Schedule K-1 that se</w:t>
      </w:r>
      <w:r>
        <w:rPr>
          <w:sz w:val="20"/>
          <w:szCs w:val="20"/>
        </w:rPr>
        <w:t>ts forth its allocable share of income, gains, losses and deductions for our preceding taxable year.  In preparing these schedules, we use various accounting and reporting conventions and adopt various depreciation and amortization methods.  We cannot guar</w:t>
      </w:r>
      <w:r>
        <w:rPr>
          <w:sz w:val="20"/>
          <w:szCs w:val="20"/>
        </w:rPr>
        <w:t>antee that these conventions will yield a result that conforms to statutory or regulatory requirements or to administrative pronouncements of the IRS.  Further, our income tax return may be audited, which could result in an audit of a Unitholder’s income t</w:t>
      </w:r>
      <w:r>
        <w:rPr>
          <w:sz w:val="20"/>
          <w:szCs w:val="20"/>
        </w:rPr>
        <w:t>ax return and increased liabilities for taxes because of adjustments resulting from the audit.</w:t>
      </w:r>
    </w:p>
    <w:p w:rsidR="00000000" w:rsidRDefault="00827839">
      <w:pPr>
        <w:pStyle w:val="a3"/>
        <w:spacing w:before="360" w:beforeAutospacing="0" w:after="0" w:afterAutospacing="0"/>
        <w:jc w:val="both"/>
        <w:rPr>
          <w:b/>
          <w:bCs/>
          <w:i/>
          <w:iCs/>
          <w:sz w:val="20"/>
          <w:szCs w:val="20"/>
        </w:rPr>
      </w:pPr>
      <w:r>
        <w:rPr>
          <w:b/>
          <w:bCs/>
          <w:i/>
          <w:iCs/>
          <w:sz w:val="20"/>
          <w:szCs w:val="20"/>
        </w:rPr>
        <w:t>We treat each purchaser of our Common Units as having the same tax benefits without regard to the actual Common Units purchased. The IRS may challenge this treat</w:t>
      </w:r>
      <w:r>
        <w:rPr>
          <w:b/>
          <w:bCs/>
          <w:i/>
          <w:iCs/>
          <w:sz w:val="20"/>
          <w:szCs w:val="20"/>
        </w:rPr>
        <w:t>ment, which could adversely affect the value of the Common Units.</w:t>
      </w:r>
    </w:p>
    <w:p w:rsidR="00000000" w:rsidRDefault="00827839">
      <w:pPr>
        <w:pStyle w:val="a3"/>
        <w:spacing w:before="120" w:beforeAutospacing="0" w:after="0" w:afterAutospacing="0"/>
        <w:ind w:firstLine="556"/>
        <w:jc w:val="both"/>
        <w:rPr>
          <w:sz w:val="20"/>
          <w:szCs w:val="20"/>
        </w:rPr>
      </w:pPr>
      <w:r>
        <w:rPr>
          <w:sz w:val="20"/>
          <w:szCs w:val="20"/>
        </w:rPr>
        <w:t>Because we cannot match transferors and transferees of Common Units and because of other reasons, uniformity of the economic and tax characteristics of the Common Units to a purchaser of Com</w:t>
      </w:r>
      <w:r>
        <w:rPr>
          <w:sz w:val="20"/>
          <w:szCs w:val="20"/>
        </w:rPr>
        <w:t>mon Units of the same class must be maintained. To maintain uniformity and for other reasons, we have adopted certain depreciation and amortization conventions that may be inconsistent with Treasury Regulations. A successful IRS challenge to those position</w:t>
      </w:r>
      <w:r>
        <w:rPr>
          <w:sz w:val="20"/>
          <w:szCs w:val="20"/>
        </w:rPr>
        <w:t xml:space="preserve">s could adversely affect the amount of tax benefits available to a Unitholder.  It also could affect the timing of these tax benefits or the amount of gain from the sale of Common Units, and could have a negative impact on the value of our Common Units or </w:t>
      </w:r>
      <w:r>
        <w:rPr>
          <w:sz w:val="20"/>
          <w:szCs w:val="20"/>
        </w:rPr>
        <w:t>result in audit adjustments to a Unitholder’s income tax return.</w:t>
      </w:r>
    </w:p>
    <w:p w:rsidR="00000000" w:rsidRDefault="00827839">
      <w:pPr>
        <w:pStyle w:val="a3"/>
        <w:spacing w:before="360" w:beforeAutospacing="0" w:after="0" w:afterAutospacing="0"/>
        <w:jc w:val="both"/>
        <w:rPr>
          <w:b/>
          <w:bCs/>
          <w:i/>
          <w:iCs/>
          <w:sz w:val="20"/>
          <w:szCs w:val="20"/>
        </w:rPr>
      </w:pPr>
      <w:r>
        <w:rPr>
          <w:b/>
          <w:bCs/>
          <w:i/>
          <w:iCs/>
          <w:sz w:val="20"/>
          <w:szCs w:val="20"/>
        </w:rPr>
        <w:t>We prorate our items of income, gain, loss and deduction between transferors and transferees of our Common Units each month based upon the ownership of our Common Units on the first day of ea</w:t>
      </w:r>
      <w:r>
        <w:rPr>
          <w:b/>
          <w:bCs/>
          <w:i/>
          <w:iCs/>
          <w:sz w:val="20"/>
          <w:szCs w:val="20"/>
        </w:rPr>
        <w:t>ch month, instead of on the basis of the date a particular Common Unit is transferred. The IRS may challenge this treatment, which could change the allocation of items of income, gain, loss and deduction among our Unitholders.</w:t>
      </w:r>
    </w:p>
    <w:p w:rsidR="00000000" w:rsidRDefault="00827839">
      <w:pPr>
        <w:pStyle w:val="a3"/>
        <w:spacing w:before="120" w:beforeAutospacing="0" w:after="0" w:afterAutospacing="0"/>
        <w:ind w:firstLine="556"/>
        <w:jc w:val="both"/>
        <w:rPr>
          <w:sz w:val="20"/>
          <w:szCs w:val="20"/>
        </w:rPr>
      </w:pPr>
      <w:r>
        <w:rPr>
          <w:sz w:val="20"/>
          <w:szCs w:val="20"/>
        </w:rPr>
        <w:t>We prorate our items of incom</w:t>
      </w:r>
      <w:r>
        <w:rPr>
          <w:sz w:val="20"/>
          <w:szCs w:val="20"/>
        </w:rPr>
        <w:t>e, gain, loss and deduction between transferors and transferees of our Common Units each month based upon the ownership of our Common Units on the first day of each month, instead of on the basis of the date a particular Common Unit is transferred. Treasur</w:t>
      </w:r>
      <w:r>
        <w:rPr>
          <w:sz w:val="20"/>
          <w:szCs w:val="20"/>
        </w:rPr>
        <w:t>y Regulations provide a safe harbor pursuant to which publicly traded partnerships may use a similar monthly simplifying convention to allocate tax items among transferors and transferees of our Common Units.  However, if the IRS were to challenge our pror</w:t>
      </w:r>
      <w:r>
        <w:rPr>
          <w:sz w:val="20"/>
          <w:szCs w:val="20"/>
        </w:rPr>
        <w:t>ation method, we may be required to change the allocation of items of income, gain, loss and deduction among our Unitholders.</w:t>
      </w:r>
    </w:p>
    <w:p w:rsidR="00000000" w:rsidRDefault="00827839">
      <w:pPr>
        <w:pStyle w:val="a3"/>
        <w:spacing w:before="360" w:beforeAutospacing="0" w:after="0" w:afterAutospacing="0"/>
        <w:jc w:val="both"/>
        <w:rPr>
          <w:b/>
          <w:bCs/>
          <w:i/>
          <w:iCs/>
          <w:sz w:val="20"/>
          <w:szCs w:val="20"/>
        </w:rPr>
      </w:pPr>
      <w:r>
        <w:rPr>
          <w:b/>
          <w:bCs/>
          <w:i/>
          <w:iCs/>
          <w:sz w:val="20"/>
          <w:szCs w:val="20"/>
        </w:rPr>
        <w:t>Unitholders may have negative tax consequences if we default on our debt or sell assets.</w:t>
      </w:r>
    </w:p>
    <w:p w:rsidR="00000000" w:rsidRDefault="00827839">
      <w:pPr>
        <w:pStyle w:val="a3"/>
        <w:spacing w:before="120" w:beforeAutospacing="0" w:after="0" w:afterAutospacing="0"/>
        <w:ind w:firstLine="556"/>
        <w:jc w:val="both"/>
        <w:rPr>
          <w:sz w:val="20"/>
          <w:szCs w:val="20"/>
        </w:rPr>
      </w:pPr>
      <w:r>
        <w:rPr>
          <w:sz w:val="20"/>
          <w:szCs w:val="20"/>
        </w:rPr>
        <w:t>If we default on any of our debt obligati</w:t>
      </w:r>
      <w:r>
        <w:rPr>
          <w:sz w:val="20"/>
          <w:szCs w:val="20"/>
        </w:rPr>
        <w:t xml:space="preserve">ons, our lenders will have the right to sue us for non-payment. This could cause an investment loss and negative tax consequences for Unitholders through the realization of taxable income by Unitholders without a corresponding cash distribution. Likewise, </w:t>
      </w:r>
      <w:r>
        <w:rPr>
          <w:sz w:val="20"/>
          <w:szCs w:val="20"/>
        </w:rPr>
        <w:t>if we were to dispose of assets and realize a taxable gain while there is substantial debt outstanding and proceeds of the sale were applied to the debt, Unitholders could have increased taxable income without a corresponding cash distribution.</w:t>
      </w:r>
    </w:p>
    <w:p w:rsidR="00000000" w:rsidRDefault="00827839">
      <w:pPr>
        <w:pStyle w:val="a3"/>
        <w:spacing w:before="360" w:beforeAutospacing="0" w:after="0" w:afterAutospacing="0"/>
        <w:jc w:val="both"/>
        <w:rPr>
          <w:b/>
          <w:bCs/>
          <w:i/>
          <w:iCs/>
          <w:sz w:val="20"/>
          <w:szCs w:val="20"/>
        </w:rPr>
      </w:pPr>
      <w:r>
        <w:rPr>
          <w:b/>
          <w:bCs/>
          <w:i/>
          <w:iCs/>
          <w:sz w:val="20"/>
          <w:szCs w:val="20"/>
        </w:rPr>
        <w:t>There are s</w:t>
      </w:r>
      <w:r>
        <w:rPr>
          <w:b/>
          <w:bCs/>
          <w:i/>
          <w:iCs/>
          <w:sz w:val="20"/>
          <w:szCs w:val="20"/>
        </w:rPr>
        <w:t>tate, local and other tax considerations for our Unitholders.</w:t>
      </w:r>
    </w:p>
    <w:p w:rsidR="00000000" w:rsidRDefault="00827839">
      <w:pPr>
        <w:pStyle w:val="a3"/>
        <w:spacing w:before="120" w:beforeAutospacing="0" w:after="0" w:afterAutospacing="0"/>
        <w:ind w:firstLine="556"/>
        <w:jc w:val="both"/>
        <w:rPr>
          <w:sz w:val="20"/>
          <w:szCs w:val="20"/>
        </w:rPr>
      </w:pPr>
      <w:r>
        <w:rPr>
          <w:sz w:val="20"/>
          <w:szCs w:val="20"/>
        </w:rPr>
        <w:t>In addition to U.S. federal income taxes, Unitholders will likely be subject to other taxes, such as state and local taxes, unincorporated business taxes and estate, inheritance or intangible ta</w:t>
      </w:r>
      <w:r>
        <w:rPr>
          <w:sz w:val="20"/>
          <w:szCs w:val="20"/>
        </w:rPr>
        <w:t>xes that are imposed by the various jurisdictions in which we do business or own property, even if the Unitholder does not reside in any of those jurisdictions. A Unitholder will likely be required to file state and local income tax returns and pay state a</w:t>
      </w:r>
      <w:r>
        <w:rPr>
          <w:sz w:val="20"/>
          <w:szCs w:val="20"/>
        </w:rPr>
        <w:t>nd local income taxes in some or all of the various jurisdictions in which we do business or own property and may be subject to penalties for failure to comply with those requirements. It is the responsibility of each Unitholder to file all U.S. federal, s</w:t>
      </w:r>
      <w:r>
        <w:rPr>
          <w:sz w:val="20"/>
          <w:szCs w:val="20"/>
        </w:rPr>
        <w:t>tate and local income tax returns that may be required of each Unitholder.</w:t>
      </w:r>
    </w:p>
    <w:p w:rsidR="00000000" w:rsidRDefault="00827839">
      <w:pPr>
        <w:pStyle w:val="a3"/>
        <w:spacing w:before="360" w:beforeAutospacing="0" w:after="0" w:afterAutospacing="0"/>
        <w:jc w:val="both"/>
        <w:rPr>
          <w:b/>
          <w:bCs/>
          <w:i/>
          <w:iCs/>
          <w:sz w:val="20"/>
          <w:szCs w:val="20"/>
        </w:rPr>
      </w:pPr>
      <w:r>
        <w:rPr>
          <w:b/>
          <w:bCs/>
          <w:i/>
          <w:iCs/>
          <w:sz w:val="20"/>
          <w:szCs w:val="20"/>
        </w:rPr>
        <w:t>A Unitholder whose Common Units are loaned to a “short seller” to cover a short sale of Common Units may be considered as having disposed of those Common Units.  If so, that Unithol</w:t>
      </w:r>
      <w:r>
        <w:rPr>
          <w:b/>
          <w:bCs/>
          <w:i/>
          <w:iCs/>
          <w:sz w:val="20"/>
          <w:szCs w:val="20"/>
        </w:rPr>
        <w:t>der would no longer be treated for tax purposes as a partner with respect to those Common Units during the period of the loan and may recognize gain or loss from the disposition.</w:t>
      </w:r>
    </w:p>
    <w:p w:rsidR="00000000" w:rsidRDefault="00827839">
      <w:pPr>
        <w:pStyle w:val="a3"/>
        <w:spacing w:before="120" w:beforeAutospacing="0" w:after="0" w:afterAutospacing="0"/>
        <w:ind w:firstLine="556"/>
        <w:jc w:val="both"/>
        <w:rPr>
          <w:sz w:val="20"/>
          <w:szCs w:val="20"/>
        </w:rPr>
      </w:pPr>
      <w:r>
        <w:rPr>
          <w:sz w:val="20"/>
          <w:szCs w:val="20"/>
        </w:rPr>
        <w:t>Because lending a partnership interest is not tax free, a Unitholder whose Common Units are loaned to a “short seller” to cover a short sale of Common Units may be considered as having disposed of the loaned Common Units.  In that case, a Unitholder may no</w:t>
      </w:r>
      <w:r>
        <w:rPr>
          <w:sz w:val="20"/>
          <w:szCs w:val="20"/>
        </w:rPr>
        <w:t xml:space="preserve"> longer be treated for tax purposes as a partner with respect to those Common Units during the period of the loan to the short seller and may recognize gain or loss from such disposition.  Moreover, during the period of the loan to the short seller, any of</w:t>
      </w:r>
      <w:r>
        <w:rPr>
          <w:sz w:val="20"/>
          <w:szCs w:val="20"/>
        </w:rPr>
        <w:t xml:space="preserve"> our income, gain, loss or deduction with respect to those Common Units may not be reportable by the Unitholder and any cash distribution received by the Unitholder as to those Common Units could be fully taxable as ordinary income.  Unitholders desiring t</w:t>
      </w:r>
      <w:r>
        <w:rPr>
          <w:sz w:val="20"/>
          <w:szCs w:val="20"/>
        </w:rPr>
        <w:t xml:space="preserve">o ensure their status as partners and avoid the risk of gain recognition from a loan to a short seller should consult their own tax advisors to discuss whether it is advisable to modify any applicable brokerage account agreements to prohibit their brokers </w:t>
      </w:r>
      <w:r>
        <w:rPr>
          <w:sz w:val="20"/>
          <w:szCs w:val="20"/>
        </w:rPr>
        <w:t>from borrowing their Common Units.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19</w:t>
      </w:r>
    </w:p>
    <w:p w:rsidR="00000000" w:rsidRDefault="00827839">
      <w:pPr>
        <w:rPr>
          <w:rFonts w:eastAsia="Times New Roman"/>
        </w:rPr>
      </w:pPr>
      <w:r>
        <w:rPr>
          <w:rFonts w:eastAsia="Times New Roman"/>
        </w:rPr>
        <w:pict>
          <v:rect id="_x0000_i104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67"/>
        <w:gridCol w:w="7439"/>
      </w:tblGrid>
      <w:tr w:rsidR="00000000">
        <w:trPr>
          <w:divId w:val="1375615665"/>
        </w:trPr>
        <w:tc>
          <w:tcPr>
            <w:tcW w:w="513" w:type="pct"/>
            <w:noWrap/>
            <w:hideMark/>
          </w:tcPr>
          <w:p w:rsidR="00000000" w:rsidRDefault="00827839">
            <w:pPr>
              <w:pStyle w:val="a3"/>
              <w:spacing w:before="0" w:beforeAutospacing="0" w:after="0" w:afterAutospacing="0"/>
              <w:jc w:val="both"/>
              <w:rPr>
                <w:b/>
                <w:bCs/>
                <w:sz w:val="20"/>
                <w:szCs w:val="20"/>
              </w:rPr>
            </w:pPr>
            <w:r>
              <w:rPr>
                <w:b/>
                <w:bCs/>
                <w:sz w:val="20"/>
                <w:szCs w:val="20"/>
              </w:rPr>
              <w:t>ITEM 1B.</w:t>
            </w:r>
          </w:p>
        </w:tc>
        <w:tc>
          <w:tcPr>
            <w:tcW w:w="0" w:type="auto"/>
            <w:hideMark/>
          </w:tcPr>
          <w:p w:rsidR="00000000" w:rsidRDefault="00827839">
            <w:pPr>
              <w:pStyle w:val="a3"/>
              <w:spacing w:before="0" w:beforeAutospacing="0" w:after="0" w:afterAutospacing="0"/>
              <w:jc w:val="both"/>
              <w:rPr>
                <w:b/>
                <w:bCs/>
                <w:sz w:val="20"/>
                <w:szCs w:val="20"/>
              </w:rPr>
            </w:pPr>
            <w:r>
              <w:rPr>
                <w:b/>
                <w:bCs/>
                <w:sz w:val="20"/>
                <w:szCs w:val="20"/>
              </w:rPr>
              <w:t>UNRESOLVED STAFF COMMENTS</w:t>
            </w:r>
          </w:p>
        </w:tc>
      </w:tr>
    </w:tbl>
    <w:p w:rsidR="00000000" w:rsidRDefault="00827839">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2015374907"/>
        </w:trPr>
        <w:tc>
          <w:tcPr>
            <w:tcW w:w="513" w:type="pct"/>
            <w:noWrap/>
            <w:hideMark/>
          </w:tcPr>
          <w:p w:rsidR="00000000" w:rsidRDefault="00827839">
            <w:pPr>
              <w:pStyle w:val="a3"/>
              <w:spacing w:before="360" w:beforeAutospacing="0" w:after="0" w:afterAutospacing="0"/>
              <w:jc w:val="both"/>
              <w:rPr>
                <w:b/>
                <w:bCs/>
                <w:sz w:val="20"/>
                <w:szCs w:val="20"/>
              </w:rPr>
            </w:pPr>
            <w:r>
              <w:rPr>
                <w:b/>
                <w:bCs/>
                <w:sz w:val="20"/>
                <w:szCs w:val="20"/>
              </w:rPr>
              <w:t>ITEM 2.</w:t>
            </w:r>
          </w:p>
        </w:tc>
        <w:tc>
          <w:tcPr>
            <w:tcW w:w="0" w:type="auto"/>
            <w:hideMark/>
          </w:tcPr>
          <w:p w:rsidR="00000000" w:rsidRDefault="00827839">
            <w:pPr>
              <w:pStyle w:val="a3"/>
              <w:spacing w:before="360" w:beforeAutospacing="0" w:after="0" w:afterAutospacing="0"/>
              <w:jc w:val="both"/>
              <w:rPr>
                <w:b/>
                <w:bCs/>
                <w:sz w:val="20"/>
                <w:szCs w:val="20"/>
              </w:rPr>
            </w:pPr>
            <w:r>
              <w:rPr>
                <w:b/>
                <w:bCs/>
                <w:sz w:val="20"/>
                <w:szCs w:val="20"/>
              </w:rPr>
              <w:t>PROPERTIES</w:t>
            </w:r>
          </w:p>
        </w:tc>
      </w:tr>
    </w:tbl>
    <w:p w:rsidR="00000000" w:rsidRDefault="00827839">
      <w:pPr>
        <w:pStyle w:val="a3"/>
        <w:spacing w:before="120" w:beforeAutospacing="0" w:after="0" w:afterAutospacing="0"/>
        <w:ind w:firstLine="556"/>
        <w:jc w:val="both"/>
        <w:rPr>
          <w:sz w:val="20"/>
          <w:szCs w:val="20"/>
        </w:rPr>
      </w:pPr>
      <w:r>
        <w:rPr>
          <w:sz w:val="20"/>
          <w:szCs w:val="20"/>
        </w:rPr>
        <w:t>As of September 28, 2019, we owned approximately 74% of ou</w:t>
      </w:r>
      <w:r>
        <w:rPr>
          <w:sz w:val="20"/>
          <w:szCs w:val="20"/>
        </w:rPr>
        <w:t xml:space="preserve">r customer service center and satellite locations and leased the balance of our retail locations from third parties.  We own and operate a 22 million gallon refrigerated, aboveground propane storage facility in Elk Grove, California.  Additionally, we own </w:t>
      </w:r>
      <w:r>
        <w:rPr>
          <w:sz w:val="20"/>
          <w:szCs w:val="20"/>
        </w:rPr>
        <w:t>our principal executive offices located in Whippany, New Jersey.</w:t>
      </w:r>
    </w:p>
    <w:p w:rsidR="00000000" w:rsidRDefault="00827839">
      <w:pPr>
        <w:pStyle w:val="a3"/>
        <w:spacing w:before="240" w:beforeAutospacing="0" w:after="0" w:afterAutospacing="0"/>
        <w:ind w:firstLine="556"/>
        <w:jc w:val="both"/>
        <w:rPr>
          <w:sz w:val="20"/>
          <w:szCs w:val="20"/>
        </w:rPr>
      </w:pPr>
      <w:r>
        <w:rPr>
          <w:sz w:val="20"/>
          <w:szCs w:val="20"/>
        </w:rPr>
        <w:t>The transportation of propane requires specialized equipment.  The trucks and railroad tank cars utilized for this purpose carry specialized steel tanks that maintain the propane in a liquefi</w:t>
      </w:r>
      <w:r>
        <w:rPr>
          <w:sz w:val="20"/>
          <w:szCs w:val="20"/>
        </w:rPr>
        <w:t xml:space="preserve">ed state. As of September 28, 2019, we had a fleet of 11 transport truck tractors, of which we owned 10, and 23 railroad tank cars, of which we owned none.  In addition, as of September 28, 2019 we had 1,183 bobtail and rack trucks, of which we owned 48%, </w:t>
      </w:r>
      <w:r>
        <w:rPr>
          <w:sz w:val="20"/>
          <w:szCs w:val="20"/>
        </w:rPr>
        <w:t>127 fuel oil tankwagons, of which we owned 63%, and 1,124 other delivery and service vehicles, of which we owned 50%.  We lease the vehicles we do not own.  As of September 28, 2019, we also owned approximately 789,000 customer propane storage tanks with t</w:t>
      </w:r>
      <w:r>
        <w:rPr>
          <w:sz w:val="20"/>
          <w:szCs w:val="20"/>
        </w:rPr>
        <w:t>ypical capacities of 100 to 500 gallons, 54,000 customer propane storage tanks with typical capacities of over 500 gallons and 261,000 portable propane cylinders with typical capacities of five to ten gallons.</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732069882"/>
        </w:trPr>
        <w:tc>
          <w:tcPr>
            <w:tcW w:w="513" w:type="pct"/>
            <w:noWrap/>
            <w:hideMark/>
          </w:tcPr>
          <w:p w:rsidR="00000000" w:rsidRDefault="00827839">
            <w:pPr>
              <w:pStyle w:val="a3"/>
              <w:spacing w:before="360" w:beforeAutospacing="0" w:after="0" w:afterAutospacing="0"/>
              <w:jc w:val="both"/>
              <w:rPr>
                <w:b/>
                <w:bCs/>
                <w:sz w:val="20"/>
                <w:szCs w:val="20"/>
              </w:rPr>
            </w:pPr>
            <w:r>
              <w:rPr>
                <w:b/>
                <w:bCs/>
                <w:sz w:val="20"/>
                <w:szCs w:val="20"/>
              </w:rPr>
              <w:t>ITEM 3.</w:t>
            </w:r>
          </w:p>
        </w:tc>
        <w:tc>
          <w:tcPr>
            <w:tcW w:w="0" w:type="auto"/>
            <w:hideMark/>
          </w:tcPr>
          <w:p w:rsidR="00000000" w:rsidRDefault="00827839">
            <w:pPr>
              <w:pStyle w:val="a3"/>
              <w:spacing w:before="360" w:beforeAutospacing="0" w:after="0" w:afterAutospacing="0"/>
              <w:jc w:val="both"/>
              <w:rPr>
                <w:b/>
                <w:bCs/>
                <w:sz w:val="20"/>
                <w:szCs w:val="20"/>
              </w:rPr>
            </w:pPr>
            <w:r>
              <w:rPr>
                <w:b/>
                <w:bCs/>
                <w:sz w:val="20"/>
                <w:szCs w:val="20"/>
              </w:rPr>
              <w:t>LEGAL PROCEEDINGS</w:t>
            </w:r>
          </w:p>
        </w:tc>
      </w:tr>
    </w:tbl>
    <w:p w:rsidR="00000000" w:rsidRDefault="00827839">
      <w:pPr>
        <w:pStyle w:val="a3"/>
        <w:spacing w:before="120" w:beforeAutospacing="0" w:after="0" w:afterAutospacing="0"/>
        <w:ind w:firstLine="556"/>
        <w:jc w:val="both"/>
        <w:rPr>
          <w:sz w:val="20"/>
          <w:szCs w:val="20"/>
        </w:rPr>
      </w:pPr>
      <w:r>
        <w:rPr>
          <w:sz w:val="20"/>
          <w:szCs w:val="20"/>
        </w:rPr>
        <w:t>Our operations are subject to operating hazards and risks normally incidental to handling, storing and delivering combustible liquids such as propane.  We have been, and will continue to be, a defendant in various legal proceedings and litigation as a resu</w:t>
      </w:r>
      <w:r>
        <w:rPr>
          <w:sz w:val="20"/>
          <w:szCs w:val="20"/>
        </w:rPr>
        <w:t>lt of these operating hazards and risks, and as a result of other aspects of our business. In this regard, our natural gas and electricity business is currently a defendant in two putative class action suits in the federal district courts of New York and P</w:t>
      </w:r>
      <w:r>
        <w:rPr>
          <w:sz w:val="20"/>
          <w:szCs w:val="20"/>
        </w:rPr>
        <w:t>ennsylvania.  The complaints allege a number of claims under various consumer statutes and common law in New York and Pennsylvania regarding pricing offered to electricity customers in those states.  The complaint in the Pennsylvania action was dismissed i</w:t>
      </w:r>
      <w:r>
        <w:rPr>
          <w:sz w:val="20"/>
          <w:szCs w:val="20"/>
        </w:rPr>
        <w:t xml:space="preserve">n its entirety by the district court, which dismissal is being appealed by the plaintiff.  The complaint in the New York action was dismissed in part by the district court, but causes of action based on the New York consumer statute and breach of contract </w:t>
      </w:r>
      <w:r>
        <w:rPr>
          <w:sz w:val="20"/>
          <w:szCs w:val="20"/>
        </w:rPr>
        <w:t xml:space="preserve">were allowed to proceed.  Based on the nature of the allegations under these suits, we believe that the suits are without merit and are defending each of these suits vigorously. With respect to these pending suits, the Partnership has determined, based on </w:t>
      </w:r>
      <w:r>
        <w:rPr>
          <w:sz w:val="20"/>
          <w:szCs w:val="20"/>
        </w:rPr>
        <w:t>the allegations and discovery to date, that no reserve for a loss contingency is required.  The Partnership is unable to reasonably estimate the possible loss or range of loss, if any, arising from either of these two actions.  Although any litigation is i</w:t>
      </w:r>
      <w:r>
        <w:rPr>
          <w:sz w:val="20"/>
          <w:szCs w:val="20"/>
        </w:rPr>
        <w:t>nherently uncertain, based on past experience, the information currently available to us, and the amount of our accrued insurance liabilities, we do not believe that currently pending or threatened litigation matters, or known claims or known contingent cl</w:t>
      </w:r>
      <w:r>
        <w:rPr>
          <w:sz w:val="20"/>
          <w:szCs w:val="20"/>
        </w:rPr>
        <w:t>aims, will have a material adverse effect on our results of operations, financial condition or cash flow.</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827939574"/>
        </w:trPr>
        <w:tc>
          <w:tcPr>
            <w:tcW w:w="513" w:type="pct"/>
            <w:noWrap/>
            <w:hideMark/>
          </w:tcPr>
          <w:p w:rsidR="00000000" w:rsidRDefault="00827839">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827839">
            <w:pPr>
              <w:pStyle w:val="a3"/>
              <w:spacing w:before="360" w:beforeAutospacing="0" w:after="0" w:afterAutospacing="0"/>
              <w:jc w:val="both"/>
              <w:rPr>
                <w:b/>
                <w:bCs/>
                <w:sz w:val="20"/>
                <w:szCs w:val="20"/>
              </w:rPr>
            </w:pPr>
            <w:r>
              <w:rPr>
                <w:b/>
                <w:bCs/>
                <w:sz w:val="20"/>
                <w:szCs w:val="20"/>
              </w:rPr>
              <w:t>MINE SAFETY DISCLOSURES</w:t>
            </w:r>
          </w:p>
        </w:tc>
      </w:tr>
    </w:tbl>
    <w:p w:rsidR="00000000" w:rsidRDefault="00827839">
      <w:pPr>
        <w:pStyle w:val="a3"/>
        <w:spacing w:before="120" w:beforeAutospacing="0" w:after="0" w:afterAutospacing="0"/>
        <w:ind w:firstLine="556"/>
        <w:jc w:val="both"/>
        <w:rPr>
          <w:sz w:val="20"/>
          <w:szCs w:val="20"/>
        </w:rPr>
      </w:pPr>
      <w:r>
        <w:rPr>
          <w:sz w:val="20"/>
          <w:szCs w:val="20"/>
        </w:rPr>
        <w:t>None.</w:t>
      </w:r>
    </w:p>
    <w:p w:rsidR="00000000" w:rsidRDefault="00827839">
      <w:pPr>
        <w:pStyle w:val="a3"/>
        <w:spacing w:before="0" w:beforeAutospacing="0" w:after="0" w:afterAutospacing="0"/>
        <w:jc w:val="both"/>
        <w:rPr>
          <w:sz w:val="18"/>
          <w:szCs w:val="18"/>
        </w:rPr>
      </w:pPr>
      <w:r>
        <w:rPr>
          <w:sz w:val="18"/>
          <w:szCs w:val="18"/>
        </w:rPr>
        <w:t> </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20</w:t>
      </w:r>
    </w:p>
    <w:p w:rsidR="00000000" w:rsidRDefault="00827839">
      <w:pPr>
        <w:rPr>
          <w:rFonts w:eastAsia="Times New Roman"/>
        </w:rPr>
      </w:pPr>
      <w:r>
        <w:rPr>
          <w:rFonts w:eastAsia="Times New Roman"/>
        </w:rPr>
        <w:pict>
          <v:rect id="_x0000_i104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center"/>
        <w:rPr>
          <w:b/>
          <w:bCs/>
          <w:sz w:val="20"/>
          <w:szCs w:val="20"/>
        </w:rPr>
      </w:pPr>
      <w:r>
        <w:rPr>
          <w:b/>
          <w:bCs/>
          <w:sz w:val="20"/>
          <w:szCs w:val="20"/>
        </w:rPr>
        <w:t>PART II</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929049566"/>
        </w:trPr>
        <w:tc>
          <w:tcPr>
            <w:tcW w:w="513" w:type="pct"/>
            <w:noWrap/>
            <w:hideMark/>
          </w:tcPr>
          <w:p w:rsidR="00000000" w:rsidRDefault="00827839">
            <w:pPr>
              <w:pStyle w:val="a3"/>
              <w:spacing w:before="240" w:beforeAutospacing="0" w:after="0" w:afterAutospacing="0"/>
              <w:jc w:val="both"/>
              <w:rPr>
                <w:b/>
                <w:bCs/>
                <w:sz w:val="20"/>
                <w:szCs w:val="20"/>
              </w:rPr>
            </w:pPr>
            <w:r>
              <w:rPr>
                <w:b/>
                <w:bCs/>
                <w:sz w:val="20"/>
                <w:szCs w:val="20"/>
              </w:rPr>
              <w:t>ITEM 5.</w:t>
            </w:r>
          </w:p>
        </w:tc>
        <w:tc>
          <w:tcPr>
            <w:tcW w:w="0" w:type="auto"/>
            <w:hideMark/>
          </w:tcPr>
          <w:p w:rsidR="00000000" w:rsidRDefault="00827839">
            <w:pPr>
              <w:pStyle w:val="a3"/>
              <w:spacing w:before="240" w:beforeAutospacing="0" w:after="0" w:afterAutospacing="0"/>
              <w:jc w:val="both"/>
              <w:rPr>
                <w:b/>
                <w:bCs/>
                <w:sz w:val="20"/>
                <w:szCs w:val="20"/>
              </w:rPr>
            </w:pPr>
            <w:r>
              <w:rPr>
                <w:b/>
                <w:bCs/>
                <w:sz w:val="20"/>
                <w:szCs w:val="20"/>
              </w:rPr>
              <w:t>MARKET FOR THE REGISTRANT’S COMMON UNITS, RELATED UNITHOLDER MATTERS AND ISSUER PURCHASES OF UNITS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(a)</w:t>
            </w:r>
          </w:p>
        </w:tc>
        <w:tc>
          <w:tcPr>
            <w:tcW w:w="0" w:type="auto"/>
            <w:hideMark/>
          </w:tcPr>
          <w:p w:rsidR="00000000" w:rsidRDefault="00827839">
            <w:pPr>
              <w:pStyle w:val="a3"/>
              <w:spacing w:before="120" w:beforeAutospacing="0" w:after="0" w:afterAutospacing="0"/>
              <w:jc w:val="both"/>
              <w:rPr>
                <w:sz w:val="20"/>
                <w:szCs w:val="20"/>
              </w:rPr>
            </w:pPr>
            <w:r>
              <w:rPr>
                <w:sz w:val="20"/>
                <w:szCs w:val="20"/>
              </w:rPr>
              <w:t>Our Common Units, representing limited partner interests in the Partnership, are listed and traded on the New York Stock Exchange (“NYSE”) under the symbol SPH.  As of November 25, 2019, there were 579 Unitholders of record (based on the number of record h</w:t>
            </w:r>
            <w:r>
              <w:rPr>
                <w:sz w:val="20"/>
                <w:szCs w:val="20"/>
              </w:rPr>
              <w:t>olders and nominees for those Common Units held in street name).</w:t>
            </w:r>
          </w:p>
        </w:tc>
      </w:tr>
    </w:tbl>
    <w:p w:rsidR="00000000" w:rsidRDefault="00827839">
      <w:pPr>
        <w:divId w:val="123577773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235777730"/>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(b)</w:t>
            </w:r>
          </w:p>
        </w:tc>
        <w:tc>
          <w:tcPr>
            <w:tcW w:w="0" w:type="auto"/>
            <w:hideMark/>
          </w:tcPr>
          <w:p w:rsidR="00000000" w:rsidRDefault="00827839">
            <w:pPr>
              <w:pStyle w:val="a3"/>
              <w:spacing w:before="120" w:beforeAutospacing="0" w:after="0" w:afterAutospacing="0"/>
              <w:jc w:val="both"/>
              <w:rPr>
                <w:sz w:val="20"/>
                <w:szCs w:val="20"/>
              </w:rPr>
            </w:pPr>
            <w:r>
              <w:rPr>
                <w:sz w:val="20"/>
                <w:szCs w:val="20"/>
              </w:rPr>
              <w:t>Not applicable.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(c)</w:t>
            </w:r>
          </w:p>
        </w:tc>
        <w:tc>
          <w:tcPr>
            <w:tcW w:w="0" w:type="auto"/>
            <w:hideMark/>
          </w:tcPr>
          <w:p w:rsidR="00000000" w:rsidRDefault="00827839">
            <w:pPr>
              <w:pStyle w:val="a3"/>
              <w:spacing w:before="120" w:beforeAutospacing="0" w:after="0" w:afterAutospacing="0"/>
              <w:jc w:val="both"/>
              <w:rPr>
                <w:sz w:val="20"/>
                <w:szCs w:val="20"/>
              </w:rPr>
            </w:pPr>
            <w:r>
              <w:rPr>
                <w:sz w:val="20"/>
                <w:szCs w:val="20"/>
              </w:rPr>
              <w:t>None.</w:t>
            </w:r>
          </w:p>
        </w:tc>
      </w:tr>
    </w:tbl>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21</w:t>
      </w:r>
    </w:p>
    <w:p w:rsidR="00000000" w:rsidRDefault="00827839">
      <w:pPr>
        <w:rPr>
          <w:rFonts w:eastAsia="Times New Roman"/>
        </w:rPr>
      </w:pPr>
      <w:r>
        <w:rPr>
          <w:rFonts w:eastAsia="Times New Roman"/>
        </w:rPr>
        <w:pict>
          <v:rect id="_x0000_i104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2105803102"/>
        </w:trPr>
        <w:tc>
          <w:tcPr>
            <w:tcW w:w="513" w:type="pct"/>
            <w:noWrap/>
            <w:hideMark/>
          </w:tcPr>
          <w:p w:rsidR="00000000" w:rsidRDefault="00827839">
            <w:pPr>
              <w:pStyle w:val="a3"/>
              <w:spacing w:before="0" w:beforeAutospacing="0" w:after="0" w:afterAutospacing="0"/>
              <w:rPr>
                <w:b/>
                <w:bCs/>
                <w:sz w:val="20"/>
                <w:szCs w:val="20"/>
              </w:rPr>
            </w:pPr>
            <w:r>
              <w:rPr>
                <w:b/>
                <w:bCs/>
                <w:sz w:val="20"/>
                <w:szCs w:val="20"/>
              </w:rPr>
              <w:t>ITEM 6.</w:t>
            </w:r>
          </w:p>
        </w:tc>
        <w:tc>
          <w:tcPr>
            <w:tcW w:w="0" w:type="auto"/>
            <w:hideMark/>
          </w:tcPr>
          <w:p w:rsidR="00000000" w:rsidRDefault="00827839">
            <w:pPr>
              <w:pStyle w:val="a3"/>
              <w:spacing w:before="0" w:beforeAutospacing="0" w:after="0" w:afterAutospacing="0"/>
              <w:rPr>
                <w:b/>
                <w:bCs/>
                <w:sz w:val="20"/>
                <w:szCs w:val="20"/>
              </w:rPr>
            </w:pPr>
            <w:r>
              <w:rPr>
                <w:b/>
                <w:bCs/>
                <w:sz w:val="20"/>
                <w:szCs w:val="20"/>
              </w:rPr>
              <w:t>SELECTED FINANCIAL DATA</w:t>
            </w:r>
          </w:p>
        </w:tc>
      </w:tr>
    </w:tbl>
    <w:p w:rsidR="00000000" w:rsidRDefault="00827839">
      <w:pPr>
        <w:pStyle w:val="a3"/>
        <w:spacing w:before="120" w:beforeAutospacing="0" w:after="0" w:afterAutospacing="0"/>
        <w:ind w:firstLine="556"/>
        <w:jc w:val="both"/>
        <w:rPr>
          <w:sz w:val="20"/>
          <w:szCs w:val="20"/>
        </w:rPr>
      </w:pPr>
      <w:r>
        <w:rPr>
          <w:sz w:val="20"/>
          <w:szCs w:val="20"/>
        </w:rPr>
        <w:t>The following table presents our selected consolidated historical financial data as derived from our audited consolidated finan</w:t>
      </w:r>
      <w:r>
        <w:rPr>
          <w:sz w:val="20"/>
          <w:szCs w:val="20"/>
        </w:rPr>
        <w:t>cial statements, certain of which are included elsewhere in this Annual Report.  All amounts in the tables below, except per unit data, are in thousands.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21"/>
        <w:gridCol w:w="65"/>
        <w:gridCol w:w="115"/>
        <w:gridCol w:w="815"/>
        <w:gridCol w:w="82"/>
        <w:gridCol w:w="65"/>
        <w:gridCol w:w="115"/>
        <w:gridCol w:w="815"/>
        <w:gridCol w:w="82"/>
        <w:gridCol w:w="65"/>
        <w:gridCol w:w="115"/>
        <w:gridCol w:w="815"/>
        <w:gridCol w:w="82"/>
        <w:gridCol w:w="65"/>
        <w:gridCol w:w="115"/>
        <w:gridCol w:w="815"/>
        <w:gridCol w:w="82"/>
        <w:gridCol w:w="65"/>
        <w:gridCol w:w="115"/>
        <w:gridCol w:w="815"/>
        <w:gridCol w:w="82"/>
      </w:tblGrid>
      <w:tr w:rsidR="00000000">
        <w:trPr>
          <w:divId w:val="293020686"/>
        </w:trPr>
        <w:tc>
          <w:tcPr>
            <w:tcW w:w="20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838"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3020686"/>
        </w:trPr>
        <w:tc>
          <w:tcPr>
            <w:tcW w:w="20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2017 (a)</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24,</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2016</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26,</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2015</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Statement of Operations Data</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Revenues</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1,267,705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1,344,413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1,187,886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1,046,111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1,416,979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Costs and expenses (b)</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1,116,851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1,181,587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1,059,291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956,811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1,232,595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gain on sale of business (c)</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9,769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Operating income</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150,854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158,003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128,595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99,069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184,384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net (b)</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4,692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8,663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6,626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expense, net</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75,263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75,086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77,634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debt extinguishment (d)</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Provision for (benefit from) income taxes</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14,440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84,352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per Common Unit - basic (e)</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per Common Unit - diluted (e)</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distributions declared per unit</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Balance Sheet Data</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and cash equivalents</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37,341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152,338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Current assets</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123,440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157,768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139,493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147,299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273,413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Total assets</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2,171,283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2,282,299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2,470,010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Current liabilities</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216,130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219,038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210,366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205,054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210,346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Total debt</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1,227,057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1,255,138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1,272,164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1,224,502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1,225,387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Total liabilities</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1,574,518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1,607,375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1,618,301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1,574,068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1,571,690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Partners' capital - Common Unitholders</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450,016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581,794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754,063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947,203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Statement of Cash Flows Data</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provided by (used in)</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Operating activities (f)</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226,781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210,412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163,821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158,954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326,983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Investing activities</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(48,515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(39,090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(22,988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(53,905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(35,972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Financing activities (f)</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(180,989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(168,947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(175,385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(220,046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(231,312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Other Data</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Depreciation and amortization</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127,938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129,616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133,294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 (g)</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267,024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278,533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241,655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219,730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295,980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 (g)</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275,032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243,045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223,043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334,039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Capital expenditures - maintenance and growth (h)</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34,978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32,902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28,168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38,375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41,213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Retail gallons sold</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426,745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439,955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420,770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414,776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480,372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3020686"/>
        </w:trPr>
        <w:tc>
          <w:tcPr>
            <w:tcW w:w="20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29,817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30,895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30,878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41,878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39539108"/>
        </w:trPr>
        <w:tc>
          <w:tcPr>
            <w:tcW w:w="227" w:type="pct"/>
            <w:noWrap/>
            <w:hideMark/>
          </w:tcPr>
          <w:p w:rsidR="00000000" w:rsidRDefault="00827839">
            <w:pPr>
              <w:pStyle w:val="a3"/>
              <w:spacing w:before="40" w:beforeAutospacing="0" w:after="0" w:afterAutospacing="0"/>
              <w:jc w:val="both"/>
              <w:rPr>
                <w:sz w:val="20"/>
                <w:szCs w:val="20"/>
              </w:rPr>
            </w:pPr>
            <w:r>
              <w:rPr>
                <w:sz w:val="20"/>
                <w:szCs w:val="20"/>
              </w:rPr>
              <w:t>(a)</w:t>
            </w:r>
          </w:p>
        </w:tc>
        <w:tc>
          <w:tcPr>
            <w:tcW w:w="0" w:type="auto"/>
            <w:hideMark/>
          </w:tcPr>
          <w:p w:rsidR="00000000" w:rsidRDefault="00827839">
            <w:pPr>
              <w:pStyle w:val="a3"/>
              <w:spacing w:before="40" w:beforeAutospacing="0" w:after="0" w:afterAutospacing="0"/>
              <w:jc w:val="both"/>
              <w:rPr>
                <w:sz w:val="20"/>
                <w:szCs w:val="20"/>
              </w:rPr>
            </w:pPr>
            <w:r>
              <w:rPr>
                <w:sz w:val="20"/>
                <w:szCs w:val="20"/>
              </w:rPr>
              <w:t xml:space="preserve">Fiscal 2017 included 53 weeks of operations compared to 52 weeks in each of fiscal 2019, 2018, 2016 and 2015. </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(b)</w:t>
            </w:r>
          </w:p>
        </w:tc>
        <w:tc>
          <w:tcPr>
            <w:tcW w:w="0" w:type="auto"/>
            <w:hideMark/>
          </w:tcPr>
          <w:p w:rsidR="00000000" w:rsidRDefault="00827839">
            <w:pPr>
              <w:pStyle w:val="a3"/>
              <w:spacing w:before="120" w:beforeAutospacing="0" w:after="0" w:afterAutospacing="0"/>
              <w:jc w:val="both"/>
              <w:rPr>
                <w:sz w:val="20"/>
                <w:szCs w:val="20"/>
              </w:rPr>
            </w:pPr>
            <w:r>
              <w:rPr>
                <w:sz w:val="20"/>
                <w:szCs w:val="20"/>
              </w:rPr>
              <w:t>During the first quarter of fiscal 2019, we adopted new accou</w:t>
            </w:r>
            <w:r>
              <w:rPr>
                <w:sz w:val="20"/>
                <w:szCs w:val="20"/>
              </w:rPr>
              <w:t>nting guidance under ASU 2017-07, “Improving the Presentation of Net Periodic Pension Cost and Net Periodic Postretirement Benefit Cost” (“ASU 2017-07”), which has been applied retrospectively.  This update required separate disclosure below Operating inco</w:t>
            </w:r>
            <w:r>
              <w:rPr>
                <w:sz w:val="20"/>
                <w:szCs w:val="20"/>
              </w:rPr>
              <w:t xml:space="preserve">me on the face of the consolidated statements of operations for certain components of net periodic pension cost and net periodic postretirement cost.  These items are reported in the line item Other, net and included non-cash pension settlement charges of </w:t>
            </w:r>
            <w:r>
              <w:rPr>
                <w:sz w:val="20"/>
                <w:szCs w:val="20"/>
              </w:rPr>
              <w:t>$6.1 million, $2.0 million and $2.0 million for fiscal 2017, 2016 and 2015, respectively, to accelerate the recognition of actuarial losses in our defined benefit pension plans as a result of the level of lump sum retirement benefit payments made.</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22</w:t>
      </w:r>
    </w:p>
    <w:p w:rsidR="00000000" w:rsidRDefault="00827839">
      <w:pPr>
        <w:rPr>
          <w:rFonts w:eastAsia="Times New Roman"/>
        </w:rPr>
      </w:pPr>
      <w:r>
        <w:rPr>
          <w:rFonts w:eastAsia="Times New Roman"/>
        </w:rPr>
        <w:pict>
          <v:rect id="_x0000_i104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19378221"/>
        </w:trPr>
        <w:tc>
          <w:tcPr>
            <w:tcW w:w="227" w:type="pct"/>
            <w:noWrap/>
            <w:hideMark/>
          </w:tcPr>
          <w:p w:rsidR="00000000" w:rsidRDefault="00827839">
            <w:pPr>
              <w:pStyle w:val="a3"/>
              <w:spacing w:before="120" w:beforeAutospacing="0" w:after="0" w:afterAutospacing="0"/>
              <w:jc w:val="both"/>
              <w:rPr>
                <w:sz w:val="20"/>
                <w:szCs w:val="20"/>
              </w:rPr>
            </w:pPr>
            <w:r>
              <w:rPr>
                <w:sz w:val="20"/>
                <w:szCs w:val="20"/>
              </w:rPr>
              <w:t>(c)</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On December 8, 2017, we sold certain assets and operations in a non-strategic market of the propane segment for $2.8 million, plus working capital consideration, resulting in a loss of $4.8 million.  On </w:t>
            </w:r>
            <w:r>
              <w:rPr>
                <w:color w:val="000000"/>
                <w:sz w:val="20"/>
                <w:szCs w:val="20"/>
              </w:rPr>
              <w:t>April 22, 2016, we sold certain assets and operations</w:t>
            </w:r>
            <w:r>
              <w:rPr>
                <w:color w:val="000000"/>
                <w:sz w:val="20"/>
                <w:szCs w:val="20"/>
              </w:rPr>
              <w:t xml:space="preserve"> in a non-strategic market of the propane segment for $26.0 million, including $5.0 million of non-compete consideration that will be received over a five-year period, resulting in a gain of $9.8 </w:t>
            </w:r>
            <w:r>
              <w:rPr>
                <w:sz w:val="20"/>
                <w:szCs w:val="20"/>
              </w:rPr>
              <w:t>million.</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(d)</w:t>
            </w:r>
          </w:p>
        </w:tc>
        <w:tc>
          <w:tcPr>
            <w:tcW w:w="0" w:type="auto"/>
            <w:hideMark/>
          </w:tcPr>
          <w:p w:rsidR="00000000" w:rsidRDefault="00827839">
            <w:pPr>
              <w:pStyle w:val="a3"/>
              <w:spacing w:before="120" w:beforeAutospacing="0" w:after="0" w:afterAutospacing="0"/>
              <w:jc w:val="both"/>
              <w:rPr>
                <w:sz w:val="20"/>
                <w:szCs w:val="20"/>
              </w:rPr>
            </w:pPr>
            <w:r>
              <w:rPr>
                <w:sz w:val="20"/>
                <w:szCs w:val="20"/>
              </w:rPr>
              <w:t>We recognized a loss on debt extinguishment d</w:t>
            </w:r>
            <w:r>
              <w:rPr>
                <w:sz w:val="20"/>
                <w:szCs w:val="20"/>
              </w:rPr>
              <w:t>uring the following periods:</w:t>
            </w:r>
          </w:p>
        </w:tc>
      </w:tr>
    </w:tbl>
    <w:p w:rsidR="00000000" w:rsidRDefault="00827839">
      <w:pPr>
        <w:divId w:val="27413944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74139443"/>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On February 14, 2017, </w:t>
            </w:r>
            <w:r>
              <w:rPr>
                <w:color w:val="000000"/>
                <w:sz w:val="20"/>
                <w:szCs w:val="20"/>
              </w:rPr>
              <w:t>we repurchased, satisfied and discharged all of our previously outstanding 2021 Senior Notes with net proceeds from the issuance of the 2027 Senior Notes and borrowings under the revolving credit fac</w:t>
            </w:r>
            <w:r>
              <w:rPr>
                <w:color w:val="000000"/>
                <w:sz w:val="20"/>
                <w:szCs w:val="20"/>
              </w:rPr>
              <w:t>ility, as described and defined below, pursuant to a tender offer and redemption. In connection with this tender offer and redemption during the second quarter of fiscal 2017, we recognized a loss on the extinguishment of debt of $1.6 million, consisting o</w:t>
            </w:r>
            <w:r>
              <w:rPr>
                <w:color w:val="000000"/>
                <w:sz w:val="20"/>
                <w:szCs w:val="20"/>
              </w:rPr>
              <w:t>f $15.1 million for the redemption premium and related fees, as well as the write-off of $2.3 million and ($15.8) million in unamortized debt origination costs and unamortized premium, respectively.</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On March 3, 2016, we entered into a Second Amended and Restated Credit Agreement (“the “Amended Credit Agreement”) that provides for a five-year $500.0 million revolving credit facility (the “Revolving Credit Facility”), of which $113.5 million, $143.6 mil</w:t>
            </w:r>
            <w:r>
              <w:rPr>
                <w:sz w:val="20"/>
                <w:szCs w:val="20"/>
              </w:rPr>
              <w:t>lion, $162.6 million and $100.0 million was outstanding as of September 28, 2019, September 29, 2018, September 30, 2017, and September 24, 2016, respectively.  As of the end of fiscal 2015, $100.0 million was outstanding under the revolving credit facilit</w:t>
            </w:r>
            <w:r>
              <w:rPr>
                <w:sz w:val="20"/>
                <w:szCs w:val="20"/>
              </w:rPr>
              <w:t>y of the previous credit agreement, which was rolled into the Revolving Credit Facility of the Amended Credit Agreement.  The Amended Credit Agreement amends and restates the previous credit agreement to, among other things, extend the maturity date from J</w:t>
            </w:r>
            <w:r>
              <w:rPr>
                <w:sz w:val="20"/>
                <w:szCs w:val="20"/>
              </w:rPr>
              <w:t>anuary 5, 2017 to March 3, 2021, reduce the borrowing rate, amend certain affirmative and negative covenants and increase the revolving credit facility from $400.0 million to $500.0 million.  In connection with the Amended Credit Agreement, we recognized a</w:t>
            </w:r>
            <w:r>
              <w:rPr>
                <w:sz w:val="20"/>
                <w:szCs w:val="20"/>
              </w:rPr>
              <w:t xml:space="preserve"> non-cash charge of $0.3 million to write-off a portion of unamortized debt origination costs of the previous credit agreement.</w:t>
            </w:r>
          </w:p>
        </w:tc>
      </w:tr>
    </w:tbl>
    <w:p w:rsidR="00000000" w:rsidRDefault="00827839">
      <w:pPr>
        <w:divId w:val="195397149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953971494"/>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On February 25, 2015, we repurchased, satisfied and discharged all of our 2020 Senior Notes with net proceeds from the iss</w:t>
            </w:r>
            <w:r>
              <w:rPr>
                <w:sz w:val="20"/>
                <w:szCs w:val="20"/>
              </w:rPr>
              <w:t>uance of the 2025 Senior Notes and cash on hand pursuant to a tender offer and redemption.  In connection with this tender offer and redemption, we recognized a loss on the extinguishment of debt of $15.1 million consisting of $11.1 million for the redempt</w:t>
            </w:r>
            <w:r>
              <w:rPr>
                <w:sz w:val="20"/>
                <w:szCs w:val="20"/>
              </w:rPr>
              <w:t>ion premium and related fees, as well as the write-off of $2.9 million and $1.1 million in unamortized debt origination costs and unamortized discount, respectively.  </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(e)</w:t>
            </w:r>
          </w:p>
        </w:tc>
        <w:tc>
          <w:tcPr>
            <w:tcW w:w="0" w:type="auto"/>
            <w:hideMark/>
          </w:tcPr>
          <w:p w:rsidR="00000000" w:rsidRDefault="00827839">
            <w:pPr>
              <w:pStyle w:val="a3"/>
              <w:spacing w:before="120" w:beforeAutospacing="0" w:after="0" w:afterAutospacing="0"/>
              <w:jc w:val="both"/>
              <w:rPr>
                <w:sz w:val="20"/>
                <w:szCs w:val="20"/>
              </w:rPr>
            </w:pPr>
            <w:r>
              <w:rPr>
                <w:sz w:val="20"/>
                <w:szCs w:val="20"/>
              </w:rPr>
              <w:t>Computations of basic earnings per Common Unit were performed by dividing net inco</w:t>
            </w:r>
            <w:r>
              <w:rPr>
                <w:sz w:val="20"/>
                <w:szCs w:val="20"/>
              </w:rPr>
              <w:t>me by the weighted average number of outstanding Common Units, and restricted units granted under our 2000, 2009 and 2018 Restricted Unit Plans (which we collectively refer to as the “Restricted Unit Plans” or the “RUP”) to retirement-eligible grantees.  T</w:t>
            </w:r>
            <w:r>
              <w:rPr>
                <w:sz w:val="20"/>
                <w:szCs w:val="20"/>
              </w:rPr>
              <w:t>he final awards under the 2000 Restricted Unit Plan vested during the first quarter of fiscal 2015.  Computations of diluted earnings per Common Unit were performed by dividing net income by the weighted average number of outstanding Common Units and unves</w:t>
            </w:r>
            <w:r>
              <w:rPr>
                <w:sz w:val="20"/>
                <w:szCs w:val="20"/>
              </w:rPr>
              <w:t>ted restricted units granted under our Restricted Unit Plans.  </w:t>
            </w:r>
          </w:p>
        </w:tc>
      </w:tr>
    </w:tbl>
    <w:p w:rsidR="00000000" w:rsidRDefault="00827839">
      <w:pPr>
        <w:divId w:val="149110055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91100552"/>
        </w:trPr>
        <w:tc>
          <w:tcPr>
            <w:tcW w:w="227" w:type="pct"/>
            <w:noWrap/>
            <w:hideMark/>
          </w:tcPr>
          <w:p w:rsidR="00000000" w:rsidRDefault="00827839">
            <w:pPr>
              <w:pStyle w:val="a3"/>
              <w:spacing w:before="120" w:beforeAutospacing="0" w:after="0" w:afterAutospacing="0"/>
              <w:jc w:val="both"/>
              <w:rPr>
                <w:sz w:val="20"/>
                <w:szCs w:val="20"/>
              </w:rPr>
            </w:pPr>
            <w:r>
              <w:rPr>
                <w:sz w:val="20"/>
                <w:szCs w:val="20"/>
              </w:rPr>
              <w:t>(f)</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During the first quarter of fiscal 2019, we adopted new accounting guidance under </w:t>
            </w:r>
            <w:r>
              <w:rPr>
                <w:color w:val="000000"/>
                <w:sz w:val="20"/>
                <w:szCs w:val="20"/>
              </w:rPr>
              <w:t>ASU 2016-15, “Classification of Certain Cash Receipts and Cash Payments” (“ASU 2016-15”).  This update a</w:t>
            </w:r>
            <w:r>
              <w:rPr>
                <w:color w:val="000000"/>
                <w:sz w:val="20"/>
                <w:szCs w:val="20"/>
              </w:rPr>
              <w:t>ddresses eight specific cash flow issues and is intended to reduce diversity in practice on how certain cash receipts and cash payments are presented and classified in the statement of cash flows.  Cash flows for the payments under non-compete agreements h</w:t>
            </w:r>
            <w:r>
              <w:rPr>
                <w:color w:val="000000"/>
                <w:sz w:val="20"/>
                <w:szCs w:val="20"/>
              </w:rPr>
              <w:t>ave been reclassed from operating activities to financing activities accordingly.  The amounts reclassed from operating activities to financing activities for these payments were $1,660, $1,870, $2,485, $1,533 and $2,774 for fiscal 2019, fiscal 2018, fisca</w:t>
            </w:r>
            <w:r>
              <w:rPr>
                <w:color w:val="000000"/>
                <w:sz w:val="20"/>
                <w:szCs w:val="20"/>
              </w:rPr>
              <w:t>l 2017, fiscal 2016 and fiscal 2015, respectively.</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(g)</w:t>
            </w:r>
          </w:p>
        </w:tc>
        <w:tc>
          <w:tcPr>
            <w:tcW w:w="0" w:type="auto"/>
            <w:hideMark/>
          </w:tcPr>
          <w:p w:rsidR="00000000" w:rsidRDefault="00827839">
            <w:pPr>
              <w:pStyle w:val="a3"/>
              <w:spacing w:before="120" w:beforeAutospacing="0" w:after="0" w:afterAutospacing="0"/>
              <w:jc w:val="both"/>
              <w:rPr>
                <w:sz w:val="20"/>
                <w:szCs w:val="20"/>
              </w:rPr>
            </w:pPr>
            <w:r>
              <w:rPr>
                <w:sz w:val="20"/>
                <w:szCs w:val="20"/>
              </w:rPr>
              <w:t>EBITDA represents net income before deducting interest expense, income taxes, depreciation and amortization.  Adjusted EBITDA represents EBITDA, excluding the unrealized net gain or loss from mark-to</w:t>
            </w:r>
            <w:r>
              <w:rPr>
                <w:sz w:val="20"/>
                <w:szCs w:val="20"/>
              </w:rPr>
              <w:t>-market activity for derivative instruments and other items, as applicable, as provided in the table below. Our management uses EBITDA and Adjusted EBITDA as supplemental measures of operating performance and we are including them because we believe that t</w:t>
            </w:r>
            <w:r>
              <w:rPr>
                <w:sz w:val="20"/>
                <w:szCs w:val="20"/>
              </w:rPr>
              <w:t>hey provide our investors and industry analysts with additional information to evaluate our operating results.  EBITDA and Adjusted EBITDA are not recognized terms under US GAAP and should not be considered as an alternative to net income or net cash provi</w:t>
            </w:r>
            <w:r>
              <w:rPr>
                <w:sz w:val="20"/>
                <w:szCs w:val="20"/>
              </w:rPr>
              <w:t>ded by operating activities determined in accordance with US GAAP.  Because EBITDA and Adjusted EBITDA as determined by us excludes some, but not all, items that affect net income, they may not be comparable to EBITDA and Adjusted EBITDA or similarly title</w:t>
            </w:r>
            <w:r>
              <w:rPr>
                <w:sz w:val="20"/>
                <w:szCs w:val="20"/>
              </w:rPr>
              <w:t>d measures used by other companies.</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23</w:t>
      </w:r>
    </w:p>
    <w:p w:rsidR="00000000" w:rsidRDefault="00827839">
      <w:pPr>
        <w:rPr>
          <w:rFonts w:eastAsia="Times New Roman"/>
        </w:rPr>
      </w:pPr>
      <w:r>
        <w:rPr>
          <w:rFonts w:eastAsia="Times New Roman"/>
        </w:rPr>
        <w:pict>
          <v:rect id="_x0000_i105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The following table sets forth our calculations of EBITDA and Adjusted EBITDA:</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09"/>
        <w:gridCol w:w="82"/>
        <w:gridCol w:w="115"/>
        <w:gridCol w:w="705"/>
        <w:gridCol w:w="72"/>
        <w:gridCol w:w="82"/>
        <w:gridCol w:w="115"/>
        <w:gridCol w:w="705"/>
        <w:gridCol w:w="82"/>
        <w:gridCol w:w="73"/>
        <w:gridCol w:w="115"/>
        <w:gridCol w:w="705"/>
        <w:gridCol w:w="82"/>
        <w:gridCol w:w="74"/>
        <w:gridCol w:w="115"/>
        <w:gridCol w:w="706"/>
        <w:gridCol w:w="82"/>
        <w:gridCol w:w="75"/>
        <w:gridCol w:w="115"/>
        <w:gridCol w:w="715"/>
        <w:gridCol w:w="82"/>
      </w:tblGrid>
      <w:tr w:rsidR="00000000">
        <w:trPr>
          <w:divId w:val="1936401605"/>
        </w:trPr>
        <w:tc>
          <w:tcPr>
            <w:tcW w:w="20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834"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36401605"/>
        </w:trPr>
        <w:tc>
          <w:tcPr>
            <w:tcW w:w="20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6"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6"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6"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24,</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2016</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6"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26,</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2015</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36401605"/>
        </w:trPr>
        <w:tc>
          <w:tcPr>
            <w:tcW w:w="20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14,440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84,352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Add:</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Provision for (benefit from) income taxes</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Interest expense, net</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75,263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75,086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77,634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Depreciation and amortization</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127,938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129,616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133,294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267,024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278,533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241,655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219,730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295,980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Unrealized (non-cash) losses (gains) on changes in</w:t>
            </w:r>
          </w:p>
          <w:p w:rsidR="00000000" w:rsidRDefault="00827839">
            <w:pPr>
              <w:pStyle w:val="a3"/>
              <w:spacing w:before="0" w:beforeAutospacing="0" w:after="0" w:afterAutospacing="0"/>
              <w:rPr>
                <w:color w:val="000000"/>
                <w:sz w:val="20"/>
                <w:szCs w:val="20"/>
              </w:rPr>
            </w:pPr>
            <w:r>
              <w:rPr>
                <w:color w:val="000000"/>
                <w:sz w:val="20"/>
                <w:szCs w:val="20"/>
              </w:rPr>
              <w:t>    fair value of derivatives</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(6,277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36401605"/>
        </w:trPr>
        <w:tc>
          <w:tcPr>
            <w:tcW w:w="20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(gain) on sale of business</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(9,769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Pension settlement charge</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debt extinguishment</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Multi-employer pension plan withdrawal charge</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6,600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11,300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Product liability settlement</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Integration-related costs</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3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36401605"/>
        </w:trPr>
        <w:tc>
          <w:tcPr>
            <w:tcW w:w="20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275,032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243,045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223,043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3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334,039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30709744"/>
        </w:trPr>
        <w:tc>
          <w:tcPr>
            <w:tcW w:w="227" w:type="pct"/>
            <w:noWrap/>
            <w:hideMark/>
          </w:tcPr>
          <w:p w:rsidR="00000000" w:rsidRDefault="00827839">
            <w:pPr>
              <w:pStyle w:val="a3"/>
              <w:spacing w:before="40" w:beforeAutospacing="0" w:after="0" w:afterAutospacing="0"/>
              <w:jc w:val="both"/>
              <w:rPr>
                <w:sz w:val="20"/>
                <w:szCs w:val="20"/>
              </w:rPr>
            </w:pPr>
            <w:r>
              <w:rPr>
                <w:sz w:val="20"/>
                <w:szCs w:val="20"/>
              </w:rPr>
              <w:t>(h)</w:t>
            </w:r>
          </w:p>
        </w:tc>
        <w:tc>
          <w:tcPr>
            <w:tcW w:w="0" w:type="auto"/>
            <w:hideMark/>
          </w:tcPr>
          <w:p w:rsidR="00000000" w:rsidRDefault="00827839">
            <w:pPr>
              <w:pStyle w:val="a3"/>
              <w:spacing w:before="40" w:beforeAutospacing="0" w:after="0" w:afterAutospacing="0"/>
              <w:jc w:val="both"/>
              <w:rPr>
                <w:sz w:val="20"/>
                <w:szCs w:val="20"/>
              </w:rPr>
            </w:pPr>
            <w:r>
              <w:rPr>
                <w:sz w:val="20"/>
                <w:szCs w:val="20"/>
              </w:rPr>
              <w:t>Our capital expenditures fall generally into two categories: (i) maintenance expenditures, which include expenditures for repair and replacement of property, plant and equipment;</w:t>
            </w:r>
            <w:r>
              <w:rPr>
                <w:sz w:val="20"/>
                <w:szCs w:val="20"/>
              </w:rPr>
              <w:t xml:space="preserve"> and (ii) growth capital expenditures which include new propane tanks and other equipment to facilitate expansion of our customer base and operating capacity.</w:t>
            </w:r>
          </w:p>
        </w:tc>
      </w:tr>
    </w:tbl>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24</w:t>
      </w:r>
    </w:p>
    <w:p w:rsidR="00000000" w:rsidRDefault="00827839">
      <w:pPr>
        <w:rPr>
          <w:rFonts w:eastAsia="Times New Roman"/>
        </w:rPr>
      </w:pPr>
      <w:r>
        <w:rPr>
          <w:rFonts w:eastAsia="Times New Roman"/>
        </w:rPr>
        <w:pict>
          <v:rect id="_x0000_i105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239796271"/>
        </w:trPr>
        <w:tc>
          <w:tcPr>
            <w:tcW w:w="513" w:type="pct"/>
            <w:noWrap/>
            <w:hideMark/>
          </w:tcPr>
          <w:p w:rsidR="00000000" w:rsidRDefault="00827839">
            <w:pPr>
              <w:pStyle w:val="a3"/>
              <w:spacing w:before="0" w:beforeAutospacing="0" w:after="0" w:afterAutospacing="0"/>
              <w:rPr>
                <w:b/>
                <w:bCs/>
                <w:sz w:val="20"/>
                <w:szCs w:val="20"/>
              </w:rPr>
            </w:pPr>
            <w:r>
              <w:rPr>
                <w:b/>
                <w:bCs/>
                <w:sz w:val="20"/>
                <w:szCs w:val="20"/>
              </w:rPr>
              <w:t>ITEM 7.</w:t>
            </w:r>
          </w:p>
        </w:tc>
        <w:tc>
          <w:tcPr>
            <w:tcW w:w="0" w:type="auto"/>
            <w:hideMark/>
          </w:tcPr>
          <w:p w:rsidR="00000000" w:rsidRDefault="00827839">
            <w:pPr>
              <w:pStyle w:val="a3"/>
              <w:spacing w:before="0" w:beforeAutospacing="0" w:after="0" w:afterAutospacing="0"/>
              <w:rPr>
                <w:b/>
                <w:bCs/>
                <w:sz w:val="20"/>
                <w:szCs w:val="20"/>
              </w:rPr>
            </w:pPr>
            <w:r>
              <w:rPr>
                <w:b/>
                <w:bCs/>
                <w:sz w:val="20"/>
                <w:szCs w:val="20"/>
              </w:rPr>
              <w:t>MANAGEMENT’S DISCUSSION AND ANALYSIS OF FINANCIAL CONDITION AND RESULTS OF OPERATIONS</w:t>
            </w:r>
          </w:p>
        </w:tc>
      </w:tr>
    </w:tbl>
    <w:p w:rsidR="00000000" w:rsidRDefault="00827839">
      <w:pPr>
        <w:pStyle w:val="a3"/>
        <w:spacing w:before="120" w:beforeAutospacing="0" w:after="0" w:afterAutospacing="0"/>
        <w:ind w:firstLine="556"/>
        <w:jc w:val="both"/>
        <w:rPr>
          <w:sz w:val="20"/>
          <w:szCs w:val="20"/>
        </w:rPr>
      </w:pPr>
      <w:r>
        <w:rPr>
          <w:sz w:val="20"/>
          <w:szCs w:val="20"/>
        </w:rPr>
        <w:t>The following is a discussion of our financial condition and resu</w:t>
      </w:r>
      <w:r>
        <w:rPr>
          <w:sz w:val="20"/>
          <w:szCs w:val="20"/>
        </w:rPr>
        <w:t>lts of operations, which should be read in conjunction with our consolidated financial statements and notes thereto included elsewhere in this Annual Report.</w:t>
      </w:r>
    </w:p>
    <w:p w:rsidR="00000000" w:rsidRDefault="00827839">
      <w:pPr>
        <w:pStyle w:val="a3"/>
        <w:spacing w:before="360" w:beforeAutospacing="0" w:after="0" w:afterAutospacing="0"/>
        <w:jc w:val="both"/>
        <w:rPr>
          <w:b/>
          <w:bCs/>
          <w:sz w:val="20"/>
          <w:szCs w:val="20"/>
        </w:rPr>
      </w:pPr>
      <w:r>
        <w:rPr>
          <w:b/>
          <w:bCs/>
          <w:sz w:val="20"/>
          <w:szCs w:val="20"/>
        </w:rPr>
        <w:t>Executive Overview</w:t>
      </w:r>
    </w:p>
    <w:p w:rsidR="00000000" w:rsidRDefault="00827839">
      <w:pPr>
        <w:pStyle w:val="a3"/>
        <w:spacing w:before="120" w:beforeAutospacing="0" w:after="0" w:afterAutospacing="0"/>
        <w:ind w:firstLine="556"/>
        <w:jc w:val="both"/>
        <w:rPr>
          <w:sz w:val="20"/>
          <w:szCs w:val="20"/>
        </w:rPr>
      </w:pPr>
      <w:r>
        <w:rPr>
          <w:sz w:val="20"/>
          <w:szCs w:val="20"/>
        </w:rPr>
        <w:t>The following are factors that regularly affect our operating results and finan</w:t>
      </w:r>
      <w:r>
        <w:rPr>
          <w:sz w:val="20"/>
          <w:szCs w:val="20"/>
        </w:rPr>
        <w:t>cial condition.  In addition, our business is subject to the risks and uncertainties described in Item 1A of this Annual Report.</w:t>
      </w:r>
    </w:p>
    <w:p w:rsidR="00000000" w:rsidRDefault="00827839">
      <w:pPr>
        <w:pStyle w:val="a3"/>
        <w:spacing w:before="360" w:beforeAutospacing="0" w:after="0" w:afterAutospacing="0"/>
        <w:jc w:val="both"/>
        <w:rPr>
          <w:b/>
          <w:bCs/>
          <w:i/>
          <w:iCs/>
          <w:sz w:val="20"/>
          <w:szCs w:val="20"/>
        </w:rPr>
      </w:pPr>
      <w:r>
        <w:rPr>
          <w:b/>
          <w:bCs/>
          <w:i/>
          <w:iCs/>
          <w:sz w:val="20"/>
          <w:szCs w:val="20"/>
        </w:rPr>
        <w:t>Product Costs and Supply</w:t>
      </w:r>
    </w:p>
    <w:p w:rsidR="00000000" w:rsidRDefault="00827839">
      <w:pPr>
        <w:pStyle w:val="a3"/>
        <w:spacing w:before="120" w:beforeAutospacing="0" w:after="0" w:afterAutospacing="0"/>
        <w:ind w:firstLine="556"/>
        <w:jc w:val="both"/>
        <w:rPr>
          <w:sz w:val="20"/>
          <w:szCs w:val="20"/>
        </w:rPr>
      </w:pPr>
      <w:r>
        <w:rPr>
          <w:sz w:val="20"/>
          <w:szCs w:val="20"/>
        </w:rPr>
        <w:t xml:space="preserve">The level of profitability in the retail propane, fuel oil, natural gas and electricity businesses is </w:t>
      </w:r>
      <w:r>
        <w:rPr>
          <w:sz w:val="20"/>
          <w:szCs w:val="20"/>
        </w:rPr>
        <w:t>largely dependent on the difference between retail sales price and our costs to acquire and transport products.  The unit cost of our products, particularly propane, fuel oil and natural gas, is subject to volatility as a result of supply and demand dynami</w:t>
      </w:r>
      <w:r>
        <w:rPr>
          <w:sz w:val="20"/>
          <w:szCs w:val="20"/>
        </w:rPr>
        <w:t>cs or other market conditions, including, but not limited to, economic and political factors impacting crude oil and natural gas supply or pricing.  We enter into product supply contracts that are generally one-year agreements subject to annual renewal, an</w:t>
      </w:r>
      <w:r>
        <w:rPr>
          <w:sz w:val="20"/>
          <w:szCs w:val="20"/>
        </w:rPr>
        <w:t>d also purchase product on the open market.  We attempt to reduce price risk by pricing product on a short-term basis.  Our propane supply contracts typically provide for pricing based upon index formulas using the posted prices established at major supply</w:t>
      </w:r>
      <w:r>
        <w:rPr>
          <w:sz w:val="20"/>
          <w:szCs w:val="20"/>
        </w:rPr>
        <w:t xml:space="preserve"> points such as Mont Belvieu, Texas, or Conway, Kansas (plus transportation costs) at the time of delivery.</w:t>
      </w:r>
    </w:p>
    <w:p w:rsidR="00000000" w:rsidRDefault="00827839">
      <w:pPr>
        <w:pStyle w:val="a3"/>
        <w:spacing w:before="240" w:beforeAutospacing="0" w:after="0" w:afterAutospacing="0"/>
        <w:ind w:firstLine="556"/>
        <w:jc w:val="both"/>
        <w:rPr>
          <w:sz w:val="20"/>
          <w:szCs w:val="20"/>
        </w:rPr>
      </w:pPr>
      <w:r>
        <w:rPr>
          <w:sz w:val="20"/>
          <w:szCs w:val="20"/>
        </w:rPr>
        <w:t>To supplement our annual purchase requirements, we may utilize forward fixed price purchase contracts to acquire a portion of the propane that we re</w:t>
      </w:r>
      <w:r>
        <w:rPr>
          <w:sz w:val="20"/>
          <w:szCs w:val="20"/>
        </w:rPr>
        <w:t>sell to our customers, which allows us to manage our exposure to unfavorable changes in commodity prices and to assure adequate physical supply.  The percentage of contract purchases, and the amount of supply contracted for under forward contracts at fixed</w:t>
      </w:r>
      <w:r>
        <w:rPr>
          <w:sz w:val="20"/>
          <w:szCs w:val="20"/>
        </w:rPr>
        <w:t xml:space="preserve"> prices, will vary from year to year based on market conditions.</w:t>
      </w:r>
    </w:p>
    <w:p w:rsidR="00000000" w:rsidRDefault="00827839">
      <w:pPr>
        <w:pStyle w:val="a3"/>
        <w:spacing w:before="240" w:beforeAutospacing="0" w:after="0" w:afterAutospacing="0"/>
        <w:ind w:firstLine="556"/>
        <w:jc w:val="both"/>
        <w:rPr>
          <w:sz w:val="20"/>
          <w:szCs w:val="20"/>
        </w:rPr>
      </w:pPr>
      <w:r>
        <w:rPr>
          <w:sz w:val="20"/>
          <w:szCs w:val="20"/>
        </w:rPr>
        <w:t>Changes in our costs to acquire and transport products can occur rapidly over a short period of time and can impact profitability.  There is no assurance that we will be able to pass on product acquisition and transportation cost increases fully or immedia</w:t>
      </w:r>
      <w:r>
        <w:rPr>
          <w:sz w:val="20"/>
          <w:szCs w:val="20"/>
        </w:rPr>
        <w:t>tely, particularly when such costs increase rapidly.  Therefore, average retail sales prices can vary significantly from year to year as our costs fluctuate with the propane, fuel oil, crude oil and natural gas commodity markets and infrastructure conditio</w:t>
      </w:r>
      <w:r>
        <w:rPr>
          <w:sz w:val="20"/>
          <w:szCs w:val="20"/>
        </w:rPr>
        <w:t>ns.  In addition, periods of sustained higher commodity and/or transportation prices can lead to customer conservation, resulting in reduced demand for our product.</w:t>
      </w:r>
    </w:p>
    <w:p w:rsidR="00000000" w:rsidRDefault="00827839">
      <w:pPr>
        <w:pStyle w:val="a3"/>
        <w:spacing w:before="360" w:beforeAutospacing="0" w:after="0" w:afterAutospacing="0"/>
        <w:jc w:val="both"/>
        <w:rPr>
          <w:b/>
          <w:bCs/>
          <w:i/>
          <w:iCs/>
          <w:sz w:val="20"/>
          <w:szCs w:val="20"/>
        </w:rPr>
      </w:pPr>
      <w:r>
        <w:rPr>
          <w:b/>
          <w:bCs/>
          <w:i/>
          <w:iCs/>
          <w:sz w:val="20"/>
          <w:szCs w:val="20"/>
        </w:rPr>
        <w:t>Seasonality</w:t>
      </w:r>
    </w:p>
    <w:p w:rsidR="00000000" w:rsidRDefault="00827839">
      <w:pPr>
        <w:pStyle w:val="a3"/>
        <w:spacing w:before="120" w:beforeAutospacing="0" w:after="0" w:afterAutospacing="0"/>
        <w:ind w:firstLine="556"/>
        <w:jc w:val="both"/>
        <w:rPr>
          <w:sz w:val="20"/>
          <w:szCs w:val="20"/>
        </w:rPr>
      </w:pPr>
      <w:r>
        <w:rPr>
          <w:sz w:val="20"/>
          <w:szCs w:val="20"/>
        </w:rPr>
        <w:t>The retail propane and fuel oil distribution businesses, as well as the natural</w:t>
      </w:r>
      <w:r>
        <w:rPr>
          <w:sz w:val="20"/>
          <w:szCs w:val="20"/>
        </w:rPr>
        <w:t xml:space="preserve"> gas marketing business, are seasonal because these fuels are primarily used for heating in residential and commercial buildings.  Historically, approximately two</w:t>
      </w:r>
      <w:r>
        <w:rPr>
          <w:sz w:val="20"/>
          <w:szCs w:val="20"/>
        </w:rPr>
        <w:noBreakHyphen/>
        <w:t>thirds of our retail propane volume is sold during the six-month peak heating season from Oct</w:t>
      </w:r>
      <w:r>
        <w:rPr>
          <w:sz w:val="20"/>
          <w:szCs w:val="20"/>
        </w:rPr>
        <w:t>ober through March. The fuel oil business tends to experience greater seasonality given its more limited use for space heating and approximately three-fourths of our fuel oil volumes are sold between October and March. Consequently, sales and operating pro</w:t>
      </w:r>
      <w:r>
        <w:rPr>
          <w:sz w:val="20"/>
          <w:szCs w:val="20"/>
        </w:rPr>
        <w:t>fits are concentrated in our first and second fiscal quarters.  Cash flows from operations, therefore, are greatest during the second and third fiscal quarters when customers pay for product purchased during the winter heating season.  We expect lower oper</w:t>
      </w:r>
      <w:r>
        <w:rPr>
          <w:sz w:val="20"/>
          <w:szCs w:val="20"/>
        </w:rPr>
        <w:t xml:space="preserve">ating profits and either net losses or lower net income during the period from April through September (our third and fourth fiscal quarters).  To the extent necessary, we will reserve cash from the second and third quarters for distribution to holders of </w:t>
      </w:r>
      <w:r>
        <w:rPr>
          <w:sz w:val="20"/>
          <w:szCs w:val="20"/>
        </w:rPr>
        <w:t>our Common Units in the fourth quarter and the following fiscal year first quarter.</w:t>
      </w:r>
    </w:p>
    <w:p w:rsidR="00000000" w:rsidRDefault="00827839">
      <w:pPr>
        <w:pStyle w:val="a3"/>
        <w:spacing w:before="360" w:beforeAutospacing="0" w:after="0" w:afterAutospacing="0"/>
        <w:jc w:val="both"/>
        <w:rPr>
          <w:b/>
          <w:bCs/>
          <w:i/>
          <w:iCs/>
          <w:sz w:val="20"/>
          <w:szCs w:val="20"/>
        </w:rPr>
      </w:pPr>
      <w:r>
        <w:rPr>
          <w:b/>
          <w:bCs/>
          <w:i/>
          <w:iCs/>
          <w:sz w:val="20"/>
          <w:szCs w:val="20"/>
        </w:rPr>
        <w:t>Weather</w:t>
      </w:r>
    </w:p>
    <w:p w:rsidR="00000000" w:rsidRDefault="00827839">
      <w:pPr>
        <w:pStyle w:val="a3"/>
        <w:spacing w:before="120" w:beforeAutospacing="0" w:after="0" w:afterAutospacing="0"/>
        <w:ind w:firstLine="556"/>
        <w:jc w:val="both"/>
        <w:rPr>
          <w:sz w:val="20"/>
          <w:szCs w:val="20"/>
        </w:rPr>
      </w:pPr>
      <w:r>
        <w:rPr>
          <w:sz w:val="20"/>
          <w:szCs w:val="20"/>
        </w:rPr>
        <w:t>Weather conditions have a significant impact on the demand for our products, in particular propane, fuel oil and natural gas, for both heating and agricultural purp</w:t>
      </w:r>
      <w:r>
        <w:rPr>
          <w:sz w:val="20"/>
          <w:szCs w:val="20"/>
        </w:rPr>
        <w:t>oses.  Many of our customers rely heavily on propane, fuel oil or natural gas as a heating source.  Accordingly, the volume sold is directly affected by the severity of the winter weather in our service areas, which can vary substantially from year to year</w:t>
      </w:r>
      <w:r>
        <w:rPr>
          <w:sz w:val="20"/>
          <w:szCs w:val="20"/>
        </w:rPr>
        <w:t>.  In any given area, sustained warmer than normal temperatures will tend to result in reduced propane, fuel oil and natural gas consumption, while sustained colder than normal temperatures will tend to result in greater consumption.</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25</w:t>
      </w:r>
    </w:p>
    <w:p w:rsidR="00000000" w:rsidRDefault="00827839">
      <w:pPr>
        <w:rPr>
          <w:rFonts w:eastAsia="Times New Roman"/>
        </w:rPr>
      </w:pPr>
      <w:r>
        <w:rPr>
          <w:rFonts w:eastAsia="Times New Roman"/>
        </w:rPr>
        <w:pict>
          <v:rect id="_x0000_i105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i/>
          <w:iCs/>
          <w:sz w:val="20"/>
          <w:szCs w:val="20"/>
        </w:rPr>
      </w:pPr>
      <w:r>
        <w:rPr>
          <w:b/>
          <w:bCs/>
          <w:i/>
          <w:iCs/>
          <w:sz w:val="20"/>
          <w:szCs w:val="20"/>
        </w:rPr>
        <w:t>Hedging and Risk Management Activities</w:t>
      </w:r>
    </w:p>
    <w:p w:rsidR="00000000" w:rsidRDefault="00827839">
      <w:pPr>
        <w:pStyle w:val="a3"/>
        <w:spacing w:before="120" w:beforeAutospacing="0" w:after="0" w:afterAutospacing="0"/>
        <w:ind w:firstLine="556"/>
        <w:jc w:val="both"/>
        <w:rPr>
          <w:sz w:val="20"/>
          <w:szCs w:val="20"/>
        </w:rPr>
      </w:pPr>
      <w:r>
        <w:rPr>
          <w:sz w:val="20"/>
          <w:szCs w:val="20"/>
        </w:rPr>
        <w:t>We engage in hedging and risk management activities to reduce the effect of price volatility on our product costs and to ensure the avail</w:t>
      </w:r>
      <w:r>
        <w:rPr>
          <w:sz w:val="20"/>
          <w:szCs w:val="20"/>
        </w:rPr>
        <w:t>ability of product during periods of short supply.  We enter into propane forward, options and swap agreements with third parties, and use futures and options contracts traded on the New York Mercantile Exchange (“NYMEX”) to purchase and sell propane, fuel</w:t>
      </w:r>
      <w:r>
        <w:rPr>
          <w:sz w:val="20"/>
          <w:szCs w:val="20"/>
        </w:rPr>
        <w:t xml:space="preserve"> oil, crude oil and natural gas at fixed prices in the future.  The majority of the futures, forward and options agreements are used to hedge price risk associated with propane and fuel oil physical inventory, as well as, in certain instances, forecasted p</w:t>
      </w:r>
      <w:r>
        <w:rPr>
          <w:sz w:val="20"/>
          <w:szCs w:val="20"/>
        </w:rPr>
        <w:t>urchases of propane or fuel oil.  In addition, we sell propane and fuel oil to customers at fixed prices, and enter into derivative instruments to hedge a portion of our exposure to fluctuations in commodity prices as a result of selling the fixed price co</w:t>
      </w:r>
      <w:r>
        <w:rPr>
          <w:sz w:val="20"/>
          <w:szCs w:val="20"/>
        </w:rPr>
        <w:t>ntracts. Forward contracts are generally settled physically at the expiration of the contract whereas futures, options and swap contracts are generally settled at the expiration of the contract through a net settlement mechanism.  Although we use derivativ</w:t>
      </w:r>
      <w:r>
        <w:rPr>
          <w:sz w:val="20"/>
          <w:szCs w:val="20"/>
        </w:rPr>
        <w:t>e instruments to reduce the effect of price volatility associated with priced physical inventory and forecasted transactions, we do not use derivative instruments for speculative trading purposes. Risk management activities are monitored by an internal Com</w:t>
      </w:r>
      <w:r>
        <w:rPr>
          <w:sz w:val="20"/>
          <w:szCs w:val="20"/>
        </w:rPr>
        <w:t>modity Risk Management Committee, made up of six members of management and reporting to our Audit Committee, through enforcement of our Hedging and Risk Management Policy.</w:t>
      </w:r>
    </w:p>
    <w:p w:rsidR="00000000" w:rsidRDefault="00827839">
      <w:pPr>
        <w:pStyle w:val="a3"/>
        <w:spacing w:before="360" w:beforeAutospacing="0" w:after="0" w:afterAutospacing="0"/>
        <w:jc w:val="both"/>
        <w:rPr>
          <w:b/>
          <w:bCs/>
          <w:i/>
          <w:iCs/>
          <w:sz w:val="20"/>
          <w:szCs w:val="20"/>
        </w:rPr>
      </w:pPr>
      <w:r>
        <w:rPr>
          <w:b/>
          <w:bCs/>
          <w:i/>
          <w:iCs/>
          <w:sz w:val="20"/>
          <w:szCs w:val="20"/>
        </w:rPr>
        <w:t>Critical Accounting Policies and Estimates</w:t>
      </w:r>
    </w:p>
    <w:p w:rsidR="00000000" w:rsidRDefault="00827839">
      <w:pPr>
        <w:pStyle w:val="a3"/>
        <w:spacing w:before="120" w:beforeAutospacing="0" w:after="0" w:afterAutospacing="0"/>
        <w:ind w:firstLine="556"/>
        <w:jc w:val="both"/>
        <w:rPr>
          <w:sz w:val="20"/>
          <w:szCs w:val="20"/>
        </w:rPr>
      </w:pPr>
      <w:r>
        <w:rPr>
          <w:sz w:val="20"/>
          <w:szCs w:val="20"/>
        </w:rPr>
        <w:t>Our significant accounting policies are s</w:t>
      </w:r>
      <w:r>
        <w:rPr>
          <w:sz w:val="20"/>
          <w:szCs w:val="20"/>
        </w:rPr>
        <w:t>ummarized in Note 2—Summary of Significant Accounting Policies included within the Notes to Consolidated Financial Statements section elsewhere in this Annual Report.</w:t>
      </w:r>
    </w:p>
    <w:p w:rsidR="00000000" w:rsidRDefault="00827839">
      <w:pPr>
        <w:pStyle w:val="a3"/>
        <w:spacing w:before="240" w:beforeAutospacing="0" w:after="0" w:afterAutospacing="0"/>
        <w:ind w:firstLine="556"/>
        <w:jc w:val="both"/>
        <w:rPr>
          <w:sz w:val="20"/>
          <w:szCs w:val="20"/>
        </w:rPr>
      </w:pPr>
      <w:r>
        <w:rPr>
          <w:sz w:val="20"/>
          <w:szCs w:val="20"/>
        </w:rPr>
        <w:t>Certain amounts included in or affecting our consolidated financial statements and relate</w:t>
      </w:r>
      <w:r>
        <w:rPr>
          <w:sz w:val="20"/>
          <w:szCs w:val="20"/>
        </w:rPr>
        <w:t>d disclosures must be estimated, requiring management to make certain assumptions with respect to values or conditions that cannot be known with certainty at the time the financial statements are prepared.  The preparation of financial statements in confor</w:t>
      </w:r>
      <w:r>
        <w:rPr>
          <w:sz w:val="20"/>
          <w:szCs w:val="20"/>
        </w:rPr>
        <w:t>mity with US GAAP requires management to make estimates and assumptions that affect the reported amounts of assets and liabilities and disclosure of contingent assets and liabilities at the date of the financial statements and the reported amounts of reven</w:t>
      </w:r>
      <w:r>
        <w:rPr>
          <w:sz w:val="20"/>
          <w:szCs w:val="20"/>
        </w:rPr>
        <w:t>ues and expenses during the reporting period. We are also subject to risks and uncertainties that may cause actual results to differ from estimated results. Estimates are used when accounting for depreciation and amortization of long-lived assets, employee</w:t>
      </w:r>
      <w:r>
        <w:rPr>
          <w:sz w:val="20"/>
          <w:szCs w:val="20"/>
        </w:rPr>
        <w:t xml:space="preserve"> benefit plans, self-insurance and litigation reserves, environmental reserves, allowances for doubtful accounts, asset valuation assessments and valuation of derivative instruments.  We base our estimates on historical experience and on various other assu</w:t>
      </w:r>
      <w:r>
        <w:rPr>
          <w:sz w:val="20"/>
          <w:szCs w:val="20"/>
        </w:rPr>
        <w:t>mptions that are believed to be reasonable under the circumstances, the results of which form the basis for making judgments about the carrying values of assets and liabilities that are not readily apparent from other sources.  Any effects on our business,</w:t>
      </w:r>
      <w:r>
        <w:rPr>
          <w:sz w:val="20"/>
          <w:szCs w:val="20"/>
        </w:rPr>
        <w:t xml:space="preserve"> financial position or results of operations resulting from revisions to these estimates are recorded in the period in which the facts that give rise to the revision become known to us.  Management has reviewed these critical accounting estimates and relat</w:t>
      </w:r>
      <w:r>
        <w:rPr>
          <w:sz w:val="20"/>
          <w:szCs w:val="20"/>
        </w:rPr>
        <w:t>ed disclosures with the Audit Committee of our Board of Supervisors.  We believe that the following are our critical accounting estimates:</w:t>
      </w:r>
    </w:p>
    <w:p w:rsidR="00000000" w:rsidRDefault="00827839">
      <w:pPr>
        <w:pStyle w:val="a3"/>
        <w:spacing w:before="240" w:beforeAutospacing="0" w:after="0" w:afterAutospacing="0"/>
        <w:ind w:firstLine="556"/>
        <w:jc w:val="both"/>
        <w:rPr>
          <w:b/>
          <w:bCs/>
          <w:i/>
          <w:iCs/>
          <w:sz w:val="20"/>
          <w:szCs w:val="20"/>
        </w:rPr>
      </w:pPr>
      <w:r>
        <w:rPr>
          <w:b/>
          <w:bCs/>
          <w:i/>
          <w:iCs/>
          <w:sz w:val="20"/>
          <w:szCs w:val="20"/>
          <w:u w:val="single"/>
        </w:rPr>
        <w:t>Allowances for Doubtful Accounts.</w:t>
      </w:r>
      <w:r>
        <w:rPr>
          <w:sz w:val="20"/>
          <w:szCs w:val="20"/>
        </w:rPr>
        <w:t>  </w:t>
      </w:r>
      <w:r>
        <w:rPr>
          <w:sz w:val="20"/>
          <w:szCs w:val="20"/>
        </w:rPr>
        <w:t>We maintain allowances for doubtful accounts for estimated losses resulting from the inability of our customers to make required payments.  We estimate our allowances for doubtful accounts using a specific reserve for known or anticipated uncollectible acc</w:t>
      </w:r>
      <w:r>
        <w:rPr>
          <w:sz w:val="20"/>
          <w:szCs w:val="20"/>
        </w:rPr>
        <w:t>ounts, as well as an estimated reserve for potential future uncollectible accounts taking into consideration our historical write-offs.  If the financial condition of one or more of our customers were to deteriorate resulting in an impairment in their abil</w:t>
      </w:r>
      <w:r>
        <w:rPr>
          <w:sz w:val="20"/>
          <w:szCs w:val="20"/>
        </w:rPr>
        <w:t>ity to make payments, additional allowances could be required.  As a result of our large customer base, which is comprised of approximately 1.0 million customers, no individual customer account is material.  Therefore, while some variation to actual result</w:t>
      </w:r>
      <w:r>
        <w:rPr>
          <w:sz w:val="20"/>
          <w:szCs w:val="20"/>
        </w:rPr>
        <w:t>s occurs, historically such variability has not been material.  Schedule II, Valuation and Qualifying Accounts, provides a summary of the changes in our allowances for doubtful accounts during the period.</w:t>
      </w:r>
    </w:p>
    <w:p w:rsidR="00000000" w:rsidRDefault="00827839">
      <w:pPr>
        <w:pStyle w:val="a3"/>
        <w:spacing w:before="240" w:beforeAutospacing="0" w:after="0" w:afterAutospacing="0"/>
        <w:ind w:firstLine="556"/>
        <w:jc w:val="both"/>
        <w:rPr>
          <w:b/>
          <w:bCs/>
          <w:i/>
          <w:iCs/>
          <w:sz w:val="20"/>
          <w:szCs w:val="20"/>
        </w:rPr>
      </w:pPr>
      <w:r>
        <w:rPr>
          <w:b/>
          <w:bCs/>
          <w:i/>
          <w:iCs/>
          <w:sz w:val="20"/>
          <w:szCs w:val="20"/>
          <w:u w:val="single"/>
        </w:rPr>
        <w:t>Pension and Other Postretirement Benefits.</w:t>
      </w:r>
      <w:r>
        <w:rPr>
          <w:sz w:val="20"/>
          <w:szCs w:val="20"/>
        </w:rPr>
        <w:t>  We esti</w:t>
      </w:r>
      <w:r>
        <w:rPr>
          <w:sz w:val="20"/>
          <w:szCs w:val="20"/>
        </w:rPr>
        <w:t>mate the rate of return on plan assets, the discount rate used to estimate the present value of future benefit obligations and the expected cost of future health care benefits in determining our annual pension and other postretirement benefit costs.  We us</w:t>
      </w:r>
      <w:r>
        <w:rPr>
          <w:sz w:val="20"/>
          <w:szCs w:val="20"/>
        </w:rPr>
        <w:t>e the Society of Actuaries’ mortality scale (MP-2014) and other actuarial life expectancy information when developing the annual mortality assumptions for our pension and postretirement benefit plans, which are used to measure net periodic benefit costs an</w:t>
      </w:r>
      <w:r>
        <w:rPr>
          <w:sz w:val="20"/>
          <w:szCs w:val="20"/>
        </w:rPr>
        <w:t>d the obligation under these plans.  While we believe that our assumptions are appropriate, significant differences in our actual experience or significant changes in market conditions may materially affect our pension and other postretirement benefit obli</w:t>
      </w:r>
      <w:r>
        <w:rPr>
          <w:sz w:val="20"/>
          <w:szCs w:val="20"/>
        </w:rPr>
        <w:t>gations and our future expense.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26</w:t>
      </w:r>
    </w:p>
    <w:p w:rsidR="00000000" w:rsidRDefault="00827839">
      <w:pPr>
        <w:rPr>
          <w:rFonts w:eastAsia="Times New Roman"/>
        </w:rPr>
      </w:pPr>
      <w:r>
        <w:rPr>
          <w:rFonts w:eastAsia="Times New Roman"/>
        </w:rPr>
        <w:pict>
          <v:rect id="_x0000_i105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b/>
          <w:bCs/>
          <w:i/>
          <w:iCs/>
          <w:sz w:val="20"/>
          <w:szCs w:val="20"/>
        </w:rPr>
      </w:pPr>
      <w:r>
        <w:rPr>
          <w:b/>
          <w:bCs/>
          <w:i/>
          <w:iCs/>
          <w:sz w:val="20"/>
          <w:szCs w:val="20"/>
          <w:u w:val="single"/>
        </w:rPr>
        <w:t>Accrued Insurance.</w:t>
      </w:r>
      <w:r>
        <w:rPr>
          <w:sz w:val="20"/>
          <w:szCs w:val="20"/>
        </w:rPr>
        <w:t xml:space="preserve">  Our accrued insurance represents the estimated costs of </w:t>
      </w:r>
      <w:r>
        <w:rPr>
          <w:sz w:val="20"/>
          <w:szCs w:val="20"/>
        </w:rPr>
        <w:t>known and anticipated or unasserted claims for incidents related to general and product, workers’ compensation and automobile liability.  For each claim, we record a provision up to the estimated amount of the probable claim utilizing actuarially determine</w:t>
      </w:r>
      <w:r>
        <w:rPr>
          <w:sz w:val="20"/>
          <w:szCs w:val="20"/>
        </w:rPr>
        <w:t xml:space="preserve">d loss development factors applied to actual claims data.  Our insurance provisions are susceptible to change to the extent that actual claims development differs from historical claims development.  We maintain insurance coverage wherein our net exposure </w:t>
      </w:r>
      <w:r>
        <w:rPr>
          <w:sz w:val="20"/>
          <w:szCs w:val="20"/>
        </w:rPr>
        <w:t xml:space="preserve">for insured claims is limited to the insurance deductible, claims above which are paid by our insurance carriers.  For the portion of our estimated insurance liability that exceeds our deductibles, we record an asset related to the amount of the liability </w:t>
      </w:r>
      <w:r>
        <w:rPr>
          <w:sz w:val="20"/>
          <w:szCs w:val="20"/>
        </w:rPr>
        <w:t>expected to be paid by the insurance companies.  Historically, we have not experienced significant variability in our actuarial estimates for claims incurred but not reported.  Accrued insurance provisions for reported claims are reviewed at least quarterl</w:t>
      </w:r>
      <w:r>
        <w:rPr>
          <w:sz w:val="20"/>
          <w:szCs w:val="20"/>
        </w:rPr>
        <w:t>y, and our assessment of whether a loss is probable and/or reasonably estimable is updated as necessary.  Due to the inherently uncertain nature of, in particular, product liability claims, the ultimate loss may differ materially from our estimates.  Howev</w:t>
      </w:r>
      <w:r>
        <w:rPr>
          <w:sz w:val="20"/>
          <w:szCs w:val="20"/>
        </w:rPr>
        <w:t>er, because of the nature of our insurance arrangements, those material variations historically have not, nor are they expected in the future to have, a material impact on our results of operations or financial position.</w:t>
      </w:r>
    </w:p>
    <w:p w:rsidR="00000000" w:rsidRDefault="00827839">
      <w:pPr>
        <w:pStyle w:val="a3"/>
        <w:spacing w:before="240" w:beforeAutospacing="0" w:after="0" w:afterAutospacing="0"/>
        <w:ind w:firstLine="556"/>
        <w:jc w:val="both"/>
        <w:rPr>
          <w:b/>
          <w:bCs/>
          <w:i/>
          <w:iCs/>
          <w:sz w:val="20"/>
          <w:szCs w:val="20"/>
        </w:rPr>
      </w:pPr>
      <w:r>
        <w:rPr>
          <w:b/>
          <w:bCs/>
          <w:i/>
          <w:iCs/>
          <w:sz w:val="20"/>
          <w:szCs w:val="20"/>
          <w:u w:val="single"/>
        </w:rPr>
        <w:t>Loss Contingencies.</w:t>
      </w:r>
      <w:r>
        <w:rPr>
          <w:sz w:val="20"/>
          <w:szCs w:val="20"/>
        </w:rPr>
        <w:t xml:space="preserve">  In the normal </w:t>
      </w:r>
      <w:r>
        <w:rPr>
          <w:sz w:val="20"/>
          <w:szCs w:val="20"/>
        </w:rPr>
        <w:t>course of business, we are involved in various claims and legal proceedings.  We record a liability for such matters when it is probable that a loss has been incurred and the amounts can be reasonably estimated.  The liability includes probable and estimab</w:t>
      </w:r>
      <w:r>
        <w:rPr>
          <w:sz w:val="20"/>
          <w:szCs w:val="20"/>
        </w:rPr>
        <w:t>le legal costs to the point in the legal matter where we believe a conclusion to the matter will be reached.  When only a range of possible loss can be established, the most probable amount in the range is accrued.  If no amount within this range is a bett</w:t>
      </w:r>
      <w:r>
        <w:rPr>
          <w:sz w:val="20"/>
          <w:szCs w:val="20"/>
        </w:rPr>
        <w:t>er estimate than any other amount within the range, the minimum amount in the range is accrued.</w:t>
      </w:r>
    </w:p>
    <w:p w:rsidR="00000000" w:rsidRDefault="00827839">
      <w:pPr>
        <w:pStyle w:val="a3"/>
        <w:spacing w:before="240" w:beforeAutospacing="0" w:after="0" w:afterAutospacing="0"/>
        <w:ind w:firstLine="556"/>
        <w:jc w:val="both"/>
        <w:rPr>
          <w:sz w:val="20"/>
          <w:szCs w:val="20"/>
        </w:rPr>
      </w:pPr>
      <w:r>
        <w:rPr>
          <w:sz w:val="20"/>
          <w:szCs w:val="20"/>
        </w:rPr>
        <w:t>We contribute to multi-employer pension plans (“MEPPs”) in accordance with various collective bargaining agreements covering union employees.  As one of the man</w:t>
      </w:r>
      <w:r>
        <w:rPr>
          <w:sz w:val="20"/>
          <w:szCs w:val="20"/>
        </w:rPr>
        <w:t>y participating employers in these MEPPs, we are responsible with the other participating employers for any plan underfunding.  Due to the uncertainty regarding future factors that could impact the withdrawal liability, we are unable to determine the timin</w:t>
      </w:r>
      <w:r>
        <w:rPr>
          <w:sz w:val="20"/>
          <w:szCs w:val="20"/>
        </w:rPr>
        <w:t>g of the payment of the future withdrawal liability, or additional future withdrawal liability, if any.</w:t>
      </w:r>
    </w:p>
    <w:p w:rsidR="00000000" w:rsidRDefault="00827839">
      <w:pPr>
        <w:pStyle w:val="a3"/>
        <w:spacing w:before="240" w:beforeAutospacing="0" w:after="0" w:afterAutospacing="0"/>
        <w:ind w:firstLine="556"/>
        <w:jc w:val="both"/>
        <w:rPr>
          <w:b/>
          <w:bCs/>
          <w:i/>
          <w:iCs/>
          <w:sz w:val="20"/>
          <w:szCs w:val="20"/>
        </w:rPr>
      </w:pPr>
      <w:r>
        <w:rPr>
          <w:b/>
          <w:bCs/>
          <w:i/>
          <w:iCs/>
          <w:sz w:val="20"/>
          <w:szCs w:val="20"/>
          <w:u w:val="single"/>
        </w:rPr>
        <w:t>Fair Values of Acquired Assets and Liabilities.</w:t>
      </w:r>
      <w:r>
        <w:rPr>
          <w:sz w:val="20"/>
          <w:szCs w:val="20"/>
        </w:rPr>
        <w:t>  From time to time, we enter into material business combinations. In accordance with accounting guidance</w:t>
      </w:r>
      <w:r>
        <w:rPr>
          <w:sz w:val="20"/>
          <w:szCs w:val="20"/>
        </w:rPr>
        <w:t xml:space="preserve"> associated with business combinations, the assets acquired and liabilities assumed are recorded at their estimated fair value as of the acquisition date.  Fair values of assets acquired and liabilities assumed are based upon available information and may </w:t>
      </w:r>
      <w:r>
        <w:rPr>
          <w:sz w:val="20"/>
          <w:szCs w:val="20"/>
        </w:rPr>
        <w:t>involve us engaging an independent third party to perform an appraisal.  Estimating fair values can be complex and subject to significant business judgment. Estimates most commonly impact property, plant and equipment and intangible assets, including goodw</w:t>
      </w:r>
      <w:r>
        <w:rPr>
          <w:sz w:val="20"/>
          <w:szCs w:val="20"/>
        </w:rPr>
        <w:t>ill.  Generally, we have, if necessary, up to one year from the acquisition date to finalize our estimates of acquisition date fair values.</w:t>
      </w:r>
    </w:p>
    <w:p w:rsidR="00000000" w:rsidRDefault="00827839">
      <w:pPr>
        <w:pStyle w:val="a3"/>
        <w:spacing w:before="360" w:beforeAutospacing="0" w:after="0" w:afterAutospacing="0"/>
        <w:rPr>
          <w:b/>
          <w:bCs/>
          <w:sz w:val="20"/>
          <w:szCs w:val="20"/>
        </w:rPr>
      </w:pPr>
      <w:r>
        <w:rPr>
          <w:b/>
          <w:bCs/>
          <w:sz w:val="20"/>
          <w:szCs w:val="20"/>
        </w:rPr>
        <w:t>Results of Operations and Financial Condition</w:t>
      </w:r>
    </w:p>
    <w:p w:rsidR="00000000" w:rsidRDefault="00827839">
      <w:pPr>
        <w:pStyle w:val="a3"/>
        <w:spacing w:before="120" w:beforeAutospacing="0" w:after="0" w:afterAutospacing="0"/>
        <w:ind w:firstLine="556"/>
        <w:jc w:val="both"/>
        <w:rPr>
          <w:sz w:val="20"/>
          <w:szCs w:val="20"/>
        </w:rPr>
      </w:pPr>
      <w:r>
        <w:rPr>
          <w:sz w:val="20"/>
          <w:szCs w:val="20"/>
        </w:rPr>
        <w:t>Net income for fiscal 2019 was $68.6 million, or $1.11 per Common Unit</w:t>
      </w:r>
      <w:r>
        <w:rPr>
          <w:sz w:val="20"/>
          <w:szCs w:val="20"/>
        </w:rPr>
        <w:t xml:space="preserve">, compared to $76.5 million, or $1.24 per Common Unit, in fiscal 2018. </w:t>
      </w:r>
    </w:p>
    <w:p w:rsidR="00000000" w:rsidRDefault="00827839">
      <w:pPr>
        <w:pStyle w:val="a3"/>
        <w:spacing w:before="240" w:beforeAutospacing="0" w:after="0" w:afterAutospacing="0"/>
        <w:ind w:firstLine="556"/>
        <w:jc w:val="both"/>
        <w:rPr>
          <w:sz w:val="20"/>
          <w:szCs w:val="20"/>
        </w:rPr>
      </w:pPr>
      <w:r>
        <w:rPr>
          <w:sz w:val="20"/>
          <w:szCs w:val="20"/>
        </w:rPr>
        <w:t xml:space="preserve">Net income and EBITDA (as defined and reconciled below) for fiscal 2018 included a loss of $4.8 million from the sale of certain assets and operations in a non-strategic market of the </w:t>
      </w:r>
      <w:r>
        <w:rPr>
          <w:sz w:val="20"/>
          <w:szCs w:val="20"/>
        </w:rPr>
        <w:t>propane segment.  Excluding the effects of the foregoing item in the prior year and unrealized (non-cash) mark-to-market adjustments on derivative instruments in both years, Adjusted EBITDA (as defined and reconciled below) amounted to $275.0 million for f</w:t>
      </w:r>
      <w:r>
        <w:rPr>
          <w:sz w:val="20"/>
          <w:szCs w:val="20"/>
        </w:rPr>
        <w:t xml:space="preserve">iscal 2019, compared to $283.0 million in the prior year. </w:t>
      </w:r>
    </w:p>
    <w:p w:rsidR="00000000" w:rsidRDefault="00827839">
      <w:pPr>
        <w:pStyle w:val="a3"/>
        <w:spacing w:before="240" w:beforeAutospacing="0" w:after="0" w:afterAutospacing="0"/>
        <w:ind w:firstLine="556"/>
        <w:jc w:val="both"/>
        <w:rPr>
          <w:sz w:val="20"/>
          <w:szCs w:val="20"/>
        </w:rPr>
      </w:pPr>
      <w:r>
        <w:rPr>
          <w:sz w:val="20"/>
          <w:szCs w:val="20"/>
        </w:rPr>
        <w:t>Retail propane gallons sold in fiscal 2019 of 426.7 million gallons decreased 3% compared to the prior year, primarily due to an erratic and inconsistent weather pattern throughout fiscal year 2019</w:t>
      </w:r>
      <w:r>
        <w:rPr>
          <w:sz w:val="20"/>
          <w:szCs w:val="20"/>
        </w:rPr>
        <w:t xml:space="preserve"> that negatively impacted customer demand.  While average temperatures (as measured by heating degree days) across all of our service territories for fiscal 2019 were 6% warmer than normal and 1% cooler than the prior year, average temperatures during the </w:t>
      </w:r>
      <w:r>
        <w:rPr>
          <w:sz w:val="20"/>
          <w:szCs w:val="20"/>
        </w:rPr>
        <w:t>peak demand months of December and January were 4% and 10% warmer than the same months in the prior year, respectively.</w:t>
      </w:r>
    </w:p>
    <w:p w:rsidR="00000000" w:rsidRDefault="00827839">
      <w:pPr>
        <w:pStyle w:val="a3"/>
        <w:spacing w:before="240" w:beforeAutospacing="0" w:after="0" w:afterAutospacing="0"/>
        <w:ind w:firstLine="556"/>
        <w:jc w:val="both"/>
        <w:rPr>
          <w:sz w:val="20"/>
          <w:szCs w:val="20"/>
        </w:rPr>
      </w:pPr>
      <w:r>
        <w:rPr>
          <w:sz w:val="20"/>
          <w:szCs w:val="20"/>
        </w:rPr>
        <w:t>Revenues for fiscal 2019 of $1,267.7 million decreased 5.7% compared to the prior year, primarily due to lower propane volumes sold, com</w:t>
      </w:r>
      <w:r>
        <w:rPr>
          <w:sz w:val="20"/>
          <w:szCs w:val="20"/>
        </w:rPr>
        <w:t>bined with lower retail selling prices associated with lower wholesale costs.</w:t>
      </w:r>
    </w:p>
    <w:p w:rsidR="00000000" w:rsidRDefault="00827839">
      <w:pPr>
        <w:pStyle w:val="a3"/>
        <w:spacing w:before="240" w:beforeAutospacing="0" w:after="0" w:afterAutospacing="0"/>
        <w:ind w:firstLine="556"/>
        <w:jc w:val="both"/>
        <w:rPr>
          <w:sz w:val="20"/>
          <w:szCs w:val="20"/>
        </w:rPr>
      </w:pPr>
      <w:r>
        <w:rPr>
          <w:sz w:val="20"/>
          <w:szCs w:val="20"/>
        </w:rPr>
        <w:t>Cost of products sold for fiscal 2019 of $522.0 million decreased 11.9% compared to the prior year, primarily due to lower wholesale costs and lower volumes sold.  Average propan</w:t>
      </w:r>
      <w:r>
        <w:rPr>
          <w:sz w:val="20"/>
          <w:szCs w:val="20"/>
        </w:rPr>
        <w:t>e prices (basis Mont Belvieu, Texas) decreased 32.8% compared to the prior year.  Cost of products sold for fiscal 2019 included an $8.0 million unrealized (non-cash) loss attributable to the mark-to-market adjustment for derivative instruments used in ris</w:t>
      </w:r>
      <w:r>
        <w:rPr>
          <w:sz w:val="20"/>
          <w:szCs w:val="20"/>
        </w:rPr>
        <w:t>k management activities, compared to a $0.3 million unrealized (non-cash) gain in fiscal 2018.  These unrealized items are excluded from Adjusted EBITDA for both periods in the table below.</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27</w:t>
      </w:r>
    </w:p>
    <w:p w:rsidR="00000000" w:rsidRDefault="00827839">
      <w:pPr>
        <w:rPr>
          <w:rFonts w:eastAsia="Times New Roman"/>
        </w:rPr>
      </w:pPr>
      <w:r>
        <w:rPr>
          <w:rFonts w:eastAsia="Times New Roman"/>
        </w:rPr>
        <w:pict>
          <v:rect id="_x0000_i105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Combined operating and general and administrative expenses of $474.0 million for fiscal 2019 increased 2.2% compared to the prior year, primarily due to higher payroll and benefit-related costs and higher vehicle repairs</w:t>
      </w:r>
      <w:r>
        <w:rPr>
          <w:sz w:val="20"/>
          <w:szCs w:val="20"/>
        </w:rPr>
        <w:t xml:space="preserve"> and maintenance costs, partially offset by lower bad debt expense.</w:t>
      </w:r>
    </w:p>
    <w:p w:rsidR="00000000" w:rsidRDefault="00827839">
      <w:pPr>
        <w:pStyle w:val="a3"/>
        <w:spacing w:before="240" w:beforeAutospacing="0" w:after="0" w:afterAutospacing="0"/>
        <w:ind w:firstLine="556"/>
        <w:jc w:val="both"/>
        <w:rPr>
          <w:sz w:val="20"/>
          <w:szCs w:val="20"/>
        </w:rPr>
      </w:pPr>
      <w:r>
        <w:rPr>
          <w:sz w:val="20"/>
          <w:szCs w:val="20"/>
        </w:rPr>
        <w:t>During fiscal 2019, we succeeded in accomplishing many significant goals that will provide further support for our long-term strategic growth initiatives.  The following highlights a few k</w:t>
      </w:r>
      <w:r>
        <w:rPr>
          <w:sz w:val="20"/>
          <w:szCs w:val="20"/>
        </w:rPr>
        <w:t>ey accomplishments for fiscal 2019:</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319650425"/>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We made additional meaningful progress towards strengthening our balance sheet by reducing debt by $30.1 million with cash flows from operating activities.  As a result of the debt reduction, our overall Consolidated Leverage Ratio improved to 4.34x at the</w:t>
            </w:r>
            <w:r>
              <w:rPr>
                <w:sz w:val="20"/>
                <w:szCs w:val="20"/>
              </w:rPr>
              <w:t xml:space="preserve"> end of fiscal 2019;</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We acquired and successfully integrated three well-run propane businesses;  </w:t>
            </w:r>
          </w:p>
        </w:tc>
      </w:tr>
    </w:tbl>
    <w:p w:rsidR="00000000" w:rsidRDefault="00827839">
      <w:pPr>
        <w:divId w:val="159863666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98636660"/>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We extended our reach in certain strategic markets that were not previously served by our existing footprint;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We made investments in new han</w:t>
            </w:r>
            <w:r>
              <w:rPr>
                <w:sz w:val="20"/>
                <w:szCs w:val="20"/>
              </w:rPr>
              <w:t>dheld technology for drivers and service technicians to improve efficiency and enhance the customer experience; and</w:t>
            </w:r>
          </w:p>
        </w:tc>
      </w:tr>
    </w:tbl>
    <w:p w:rsidR="00000000" w:rsidRDefault="00827839">
      <w:pPr>
        <w:divId w:val="18942173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9421735"/>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We launched a brand refresh called the Three Pillars of the Suburban Propane Experience, which focuses on the key elements of our time</w:t>
            </w:r>
            <w:r>
              <w:rPr>
                <w:sz w:val="20"/>
                <w:szCs w:val="20"/>
              </w:rPr>
              <w:t>-honored brand: Suburban Propane’s Commitment to Excellence, SuburbanCares and Go Green with Suburban Propane.</w:t>
            </w:r>
          </w:p>
        </w:tc>
      </w:tr>
    </w:tbl>
    <w:p w:rsidR="00000000" w:rsidRDefault="00827839">
      <w:pPr>
        <w:pStyle w:val="a3"/>
        <w:spacing w:before="240" w:beforeAutospacing="0" w:after="0" w:afterAutospacing="0"/>
        <w:ind w:firstLine="556"/>
        <w:jc w:val="both"/>
        <w:rPr>
          <w:sz w:val="20"/>
          <w:szCs w:val="20"/>
        </w:rPr>
      </w:pPr>
      <w:r>
        <w:rPr>
          <w:sz w:val="20"/>
          <w:szCs w:val="20"/>
        </w:rPr>
        <w:t>On October 24, 2019, we announced that our Board of Supervisors had declared a quarterly distribution of $0.60 per Common Unit for the three months ended September 28, 2019. This quarterly distribution rate equates to an annualized rate of $2.40 per Common</w:t>
      </w:r>
      <w:r>
        <w:rPr>
          <w:sz w:val="20"/>
          <w:szCs w:val="20"/>
        </w:rPr>
        <w:t xml:space="preserve"> Unit.  The distribution was paid on November 12, 2019 to Common Unitholders of record as of November 5, 2019.  </w:t>
      </w:r>
    </w:p>
    <w:p w:rsidR="00000000" w:rsidRDefault="00827839">
      <w:pPr>
        <w:pStyle w:val="a3"/>
        <w:spacing w:before="240" w:beforeAutospacing="0" w:after="0" w:afterAutospacing="0"/>
        <w:ind w:firstLine="556"/>
        <w:jc w:val="both"/>
        <w:rPr>
          <w:sz w:val="20"/>
          <w:szCs w:val="20"/>
        </w:rPr>
      </w:pPr>
      <w:r>
        <w:rPr>
          <w:sz w:val="20"/>
          <w:szCs w:val="20"/>
        </w:rPr>
        <w:t>As we look ahead to fiscal 2020, our anticipated cash requirements include: (i) maintenance and growth capital expenditures of approximately $3</w:t>
      </w:r>
      <w:r>
        <w:rPr>
          <w:sz w:val="20"/>
          <w:szCs w:val="20"/>
        </w:rPr>
        <w:t>5.0 million; (ii) approximately $72.1 million of interest and income tax payments; and (iii) approximately $148.9 million of distributions to Unitholders, based on the current annualized rate of $2.40 per Common Unit.  Based on our liquidity position, whic</w:t>
      </w:r>
      <w:r>
        <w:rPr>
          <w:sz w:val="20"/>
          <w:szCs w:val="20"/>
        </w:rPr>
        <w:t>h includes availability of funds under the Revolving Credit Facility and expected cash flow from operating activities, we expect to have sufficient funds to meet our current and future obligations.</w:t>
      </w:r>
    </w:p>
    <w:p w:rsidR="00000000" w:rsidRDefault="00827839">
      <w:pPr>
        <w:pStyle w:val="a3"/>
        <w:spacing w:before="360" w:beforeAutospacing="0" w:after="0" w:afterAutospacing="0"/>
        <w:rPr>
          <w:b/>
          <w:bCs/>
          <w:i/>
          <w:iCs/>
          <w:sz w:val="20"/>
          <w:szCs w:val="20"/>
        </w:rPr>
      </w:pPr>
      <w:r>
        <w:rPr>
          <w:b/>
          <w:bCs/>
          <w:i/>
          <w:iCs/>
          <w:sz w:val="20"/>
          <w:szCs w:val="20"/>
        </w:rPr>
        <w:t>Fiscal Year 2019 Compared to Fiscal Year 2018</w:t>
      </w:r>
    </w:p>
    <w:p w:rsidR="00000000" w:rsidRDefault="00827839">
      <w:pPr>
        <w:pStyle w:val="a3"/>
        <w:spacing w:before="120" w:beforeAutospacing="0" w:after="0" w:afterAutospacing="0"/>
        <w:jc w:val="both"/>
        <w:rPr>
          <w:i/>
          <w:iCs/>
          <w:sz w:val="20"/>
          <w:szCs w:val="20"/>
        </w:rPr>
      </w:pPr>
      <w:r>
        <w:rPr>
          <w:i/>
          <w:iCs/>
          <w:sz w:val="20"/>
          <w:szCs w:val="20"/>
        </w:rPr>
        <w:t>Revenues</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412"/>
        <w:gridCol w:w="65"/>
        <w:gridCol w:w="115"/>
        <w:gridCol w:w="815"/>
        <w:gridCol w:w="65"/>
        <w:gridCol w:w="65"/>
        <w:gridCol w:w="115"/>
        <w:gridCol w:w="815"/>
        <w:gridCol w:w="65"/>
        <w:gridCol w:w="65"/>
        <w:gridCol w:w="115"/>
        <w:gridCol w:w="632"/>
        <w:gridCol w:w="82"/>
        <w:gridCol w:w="65"/>
        <w:gridCol w:w="73"/>
        <w:gridCol w:w="662"/>
        <w:gridCol w:w="249"/>
      </w:tblGrid>
      <w:tr w:rsidR="00000000">
        <w:trPr>
          <w:divId w:val="723873079"/>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w:t>
            </w:r>
            <w:r>
              <w:rPr>
                <w:b/>
                <w:bCs/>
                <w:color w:val="000000"/>
                <w:sz w:val="16"/>
                <w:szCs w:val="16"/>
              </w:rPr>
              <w:t>Dollars and gallons in thousands)</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23873079"/>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23873079"/>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23873079"/>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r>
      <w:tr w:rsidR="00000000">
        <w:trPr>
          <w:divId w:val="723873079"/>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1,083,446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1,153,323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(69,877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723873079"/>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92,084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91,520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723873079"/>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45,206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54,308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723873079"/>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46,969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45,262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723873079"/>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revenues</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1,267,705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1,344,413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(76,708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723873079"/>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Retail gallons sold</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723873079"/>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426,745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439,955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(13,210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723873079"/>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29,817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 xml:space="preserve">Total revenues decreased $76.7 million, or 5.7%, to $1,267.7 million for fiscal 2019 compared to $1,344.4 million for the prior year, primarily due to lower volumes sold and lower average selling prices associated with lower wholesale costs.  As discussed </w:t>
      </w:r>
      <w:r>
        <w:rPr>
          <w:sz w:val="20"/>
          <w:szCs w:val="20"/>
        </w:rPr>
        <w:t>above, average temperatures (as measured in heating degree days) across all of our service territories for fiscal 2019 were 1% cooler than the prior year, albeit 6% warmer than normal.  The cooler temperatures compared to the prior year were principally ex</w:t>
      </w:r>
      <w:r>
        <w:rPr>
          <w:sz w:val="20"/>
          <w:szCs w:val="20"/>
        </w:rPr>
        <w:t>perienced in the early and latter parts of the heating season, which generally has less of an impact on customer demand than heating degree days in December and January.  Average temperatures during the months of December and January were 8% and 10% warmer</w:t>
      </w:r>
      <w:r>
        <w:rPr>
          <w:sz w:val="20"/>
          <w:szCs w:val="20"/>
        </w:rPr>
        <w:t xml:space="preserve"> than normal, respectively, and 4% and 10% warmer than the corresponding month in the prior year, respectively.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28</w:t>
      </w:r>
    </w:p>
    <w:p w:rsidR="00000000" w:rsidRDefault="00827839">
      <w:pPr>
        <w:rPr>
          <w:rFonts w:eastAsia="Times New Roman"/>
        </w:rPr>
      </w:pPr>
      <w:r>
        <w:rPr>
          <w:rFonts w:eastAsia="Times New Roman"/>
        </w:rPr>
        <w:pict>
          <v:rect id="_x0000_i105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Revenues from the distribution of propane and related activities of $1,083.4 million for fiscal 2019 decreased $69.9 million, or 6.1%, compared to $1,153.3 million for the prior year, primarily due to lower retail volumes sold and lower average retail sell</w:t>
      </w:r>
      <w:r>
        <w:rPr>
          <w:sz w:val="20"/>
          <w:szCs w:val="20"/>
        </w:rPr>
        <w:t>ing prices associated with a drop in wholesale costs.  Retail propane gallons sold in fiscal 2019 decreased 13.2 million gallons, or 3.0%, to 426.7 million gallons, resulting in a decrease in revenues of $34.0 million.  Average propane selling prices for f</w:t>
      </w:r>
      <w:r>
        <w:rPr>
          <w:sz w:val="20"/>
          <w:szCs w:val="20"/>
        </w:rPr>
        <w:t>iscal 2019 decreased 1.9% compared to the prior year, resulting in a $20.8 million decrease in revenues.  Included within the propane segment are revenues from risk management activities of $4.5 million for fiscal 2019, which decreased $15.1 million due to</w:t>
      </w:r>
      <w:r>
        <w:rPr>
          <w:sz w:val="20"/>
          <w:szCs w:val="20"/>
        </w:rPr>
        <w:t xml:space="preserve"> a lower notional amount of hedging contracts that were settled physically.</w:t>
      </w:r>
    </w:p>
    <w:p w:rsidR="00000000" w:rsidRDefault="00827839">
      <w:pPr>
        <w:pStyle w:val="a3"/>
        <w:spacing w:before="240" w:beforeAutospacing="0" w:after="0" w:afterAutospacing="0"/>
        <w:ind w:firstLine="556"/>
        <w:jc w:val="both"/>
        <w:rPr>
          <w:sz w:val="20"/>
          <w:szCs w:val="20"/>
        </w:rPr>
      </w:pPr>
      <w:r>
        <w:rPr>
          <w:sz w:val="20"/>
          <w:szCs w:val="20"/>
        </w:rPr>
        <w:t xml:space="preserve">Revenues from the distribution of fuel oil and refined fuels of $92.1 million for fiscal 2019 increased $0.6 million, or 0.6%, from $91.5 million for the prior year, primarily due </w:t>
      </w:r>
      <w:r>
        <w:rPr>
          <w:sz w:val="20"/>
          <w:szCs w:val="20"/>
        </w:rPr>
        <w:t xml:space="preserve">to an increase in average selling prices, offset to an extent by lower volumes sold. Average selling prices for fuel oil and refined fuels increased 4.6%, resulting in a $4.0 million increase in revenues.  Fuel oil and refined fuels gallons sold decreased </w:t>
      </w:r>
      <w:r>
        <w:rPr>
          <w:sz w:val="20"/>
          <w:szCs w:val="20"/>
        </w:rPr>
        <w:t>1.2 million gallons, or 4.0%, resulting in a $3.4 million decrease in revenues.  </w:t>
      </w:r>
    </w:p>
    <w:p w:rsidR="00000000" w:rsidRDefault="00827839">
      <w:pPr>
        <w:pStyle w:val="a3"/>
        <w:spacing w:before="240" w:beforeAutospacing="0" w:after="0" w:afterAutospacing="0"/>
        <w:ind w:firstLine="556"/>
        <w:jc w:val="both"/>
        <w:rPr>
          <w:sz w:val="20"/>
          <w:szCs w:val="20"/>
        </w:rPr>
      </w:pPr>
      <w:r>
        <w:rPr>
          <w:sz w:val="20"/>
          <w:szCs w:val="20"/>
        </w:rPr>
        <w:t>Revenues in our natural gas and electricity segment decreased $9.1 million, or 16.8%, to $45.2 million in fiscal 2019 compared to $54.3 million in the prior year mainly due t</w:t>
      </w:r>
      <w:r>
        <w:rPr>
          <w:sz w:val="20"/>
          <w:szCs w:val="20"/>
        </w:rPr>
        <w:t>o a reduction to the customer base resulting from actions taken by the New York State Public Utility Commission to reregulate this segment of our business (see Item 1), as well as lower electricity usage.</w:t>
      </w:r>
    </w:p>
    <w:p w:rsidR="00000000" w:rsidRDefault="00827839">
      <w:pPr>
        <w:pStyle w:val="a3"/>
        <w:spacing w:before="360" w:beforeAutospacing="0" w:after="0" w:afterAutospacing="0"/>
        <w:jc w:val="both"/>
        <w:rPr>
          <w:i/>
          <w:iCs/>
          <w:sz w:val="20"/>
          <w:szCs w:val="20"/>
        </w:rPr>
      </w:pPr>
      <w:r>
        <w:rPr>
          <w:i/>
          <w:iCs/>
          <w:sz w:val="20"/>
          <w:szCs w:val="20"/>
        </w:rPr>
        <w:t>Cost of Products Sold</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478"/>
        <w:gridCol w:w="65"/>
        <w:gridCol w:w="115"/>
        <w:gridCol w:w="665"/>
        <w:gridCol w:w="182"/>
        <w:gridCol w:w="65"/>
        <w:gridCol w:w="115"/>
        <w:gridCol w:w="665"/>
        <w:gridCol w:w="182"/>
        <w:gridCol w:w="65"/>
        <w:gridCol w:w="115"/>
        <w:gridCol w:w="632"/>
        <w:gridCol w:w="82"/>
        <w:gridCol w:w="65"/>
        <w:gridCol w:w="73"/>
        <w:gridCol w:w="662"/>
        <w:gridCol w:w="249"/>
      </w:tblGrid>
      <w:tr w:rsidR="00000000">
        <w:trPr>
          <w:divId w:val="95758104"/>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95758104"/>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95758104"/>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95758104"/>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r>
      <w:tr w:rsidR="00000000">
        <w:trPr>
          <w:divId w:val="95758104"/>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418,265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481,991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(63,726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95758104"/>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63,114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64,330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95758104"/>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27,024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32,917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(5,893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95758104"/>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13,585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13,392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95758104"/>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521,988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592,630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(70,642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95758104"/>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The cost of products sold reported in the consolidated statements of operations represents the weighted average unit cost of propane, fuel oil and refined fuels, natural gas and electricity sold, including transportation costs to deliver product from our s</w:t>
      </w:r>
      <w:r>
        <w:rPr>
          <w:sz w:val="20"/>
          <w:szCs w:val="20"/>
        </w:rPr>
        <w:t>upply points to storage or to our customer service centers.  Cost of products sold also includes the cost of appliances and related parts sold or installed by our customer service centers computed on a basis that approximates the average cost of the produc</w:t>
      </w:r>
      <w:r>
        <w:rPr>
          <w:sz w:val="20"/>
          <w:szCs w:val="20"/>
        </w:rPr>
        <w:t>ts.  </w:t>
      </w:r>
    </w:p>
    <w:p w:rsidR="00000000" w:rsidRDefault="00827839">
      <w:pPr>
        <w:pStyle w:val="a3"/>
        <w:spacing w:before="240" w:beforeAutospacing="0" w:after="0" w:afterAutospacing="0"/>
        <w:ind w:firstLine="556"/>
        <w:jc w:val="both"/>
        <w:rPr>
          <w:sz w:val="20"/>
          <w:szCs w:val="20"/>
        </w:rPr>
      </w:pPr>
      <w:r>
        <w:rPr>
          <w:sz w:val="20"/>
          <w:szCs w:val="20"/>
        </w:rPr>
        <w:t xml:space="preserve">Given the retail nature of our operations, we maintain a certain level of priced physical inventory to help ensure that our field operations have adequate supply commensurate with the time of year.  Our strategy has been, and will continue to be, to </w:t>
      </w:r>
      <w:r>
        <w:rPr>
          <w:sz w:val="20"/>
          <w:szCs w:val="20"/>
        </w:rPr>
        <w:t>keep our physical inventory priced relatively close to market for our field operations.  Consistent with past practices, we principally utilize futures and/or options contracts traded on the NYMEX to mitigate the price risk associated with our priced physi</w:t>
      </w:r>
      <w:r>
        <w:rPr>
          <w:sz w:val="20"/>
          <w:szCs w:val="20"/>
        </w:rPr>
        <w:t xml:space="preserve">cal inventory.  Under this risk management strategy, realized gains or losses on futures or options contracts, which are reported in cost of products sold, will typically offset losses or gains on the physical inventory once the product is sold (which may </w:t>
      </w:r>
      <w:r>
        <w:rPr>
          <w:sz w:val="20"/>
          <w:szCs w:val="20"/>
        </w:rPr>
        <w:t>or may not occur in the same accounting period).  We do not use futures or options contracts, or other derivative instruments, for speculative trading purposes.  Unrealized (non-cash) gains or losses from changes in the fair value of derivative instruments</w:t>
      </w:r>
      <w:r>
        <w:rPr>
          <w:sz w:val="20"/>
          <w:szCs w:val="20"/>
        </w:rPr>
        <w:t xml:space="preserve"> that are not designated as cash flow hedges are recorded within cost of products sold.  Cost of products sold excludes depreciation and amortization; these amounts are reported separately within the consolidated statements of operations.</w:t>
      </w:r>
    </w:p>
    <w:p w:rsidR="00000000" w:rsidRDefault="00827839">
      <w:pPr>
        <w:pStyle w:val="a3"/>
        <w:spacing w:before="240" w:beforeAutospacing="0" w:after="0" w:afterAutospacing="0"/>
        <w:ind w:firstLine="556"/>
        <w:jc w:val="both"/>
        <w:rPr>
          <w:sz w:val="20"/>
          <w:szCs w:val="20"/>
        </w:rPr>
      </w:pPr>
      <w:r>
        <w:rPr>
          <w:sz w:val="20"/>
          <w:szCs w:val="20"/>
        </w:rPr>
        <w:t xml:space="preserve">From a commodity </w:t>
      </w:r>
      <w:r>
        <w:rPr>
          <w:sz w:val="20"/>
          <w:szCs w:val="20"/>
        </w:rPr>
        <w:t>perspective, propane prices in the United States steadily decreased during most of fiscal 2019, reflecting higher U.S. propane inventory levels. As of September 2019, inventory levels in the United States were 28% higher than at September 2018 and 9% highe</w:t>
      </w:r>
      <w:r>
        <w:rPr>
          <w:sz w:val="20"/>
          <w:szCs w:val="20"/>
        </w:rPr>
        <w:t>r than the 5-year average.  Overall, average posted propane prices (basis Mont Belvieu, Texas) and fuel oil prices during fiscal 2019 were 32.8% and 3.9% lower than the prior year, respectively.  The net change in the fair value of derivative instruments d</w:t>
      </w:r>
      <w:r>
        <w:rPr>
          <w:sz w:val="20"/>
          <w:szCs w:val="20"/>
        </w:rPr>
        <w:t>uring the period resulted in unrealized (non-cash) losses of $8.0 million and unrealized (non-cash) gains of $0.3 million reported in cost of products sold in fiscal 2019 and 2018, respectively, resulting in a year-over-year increase of $8.3 million in cos</w:t>
      </w:r>
      <w:r>
        <w:rPr>
          <w:sz w:val="20"/>
          <w:szCs w:val="20"/>
        </w:rPr>
        <w:t>t of products sold, all of which was reported in the propane segment.</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29</w:t>
      </w:r>
    </w:p>
    <w:p w:rsidR="00000000" w:rsidRDefault="00827839">
      <w:pPr>
        <w:rPr>
          <w:rFonts w:eastAsia="Times New Roman"/>
        </w:rPr>
      </w:pPr>
      <w:r>
        <w:rPr>
          <w:rFonts w:eastAsia="Times New Roman"/>
        </w:rPr>
        <w:pict>
          <v:rect id="_x0000_i105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Cost of products sold associated with the distribution of propane and related activi</w:t>
      </w:r>
      <w:r>
        <w:rPr>
          <w:sz w:val="20"/>
          <w:szCs w:val="20"/>
        </w:rPr>
        <w:t>ties of $418.3 million for fiscal 2019 decreased $63.7 million, or 13.2%, compared to the prior year, primarily due to lower wholesale costs and lower volumes sold.  The decreases in average propane costs and propane volumes sold during fiscal 2019 resulte</w:t>
      </w:r>
      <w:r>
        <w:rPr>
          <w:sz w:val="20"/>
          <w:szCs w:val="20"/>
        </w:rPr>
        <w:t>d in decreases in cost of products sold of $46.2 million and $14.5 million, respectively.  Cost of products sold from risk management activities decreased $11.3 million compared to the prior year, primarily due to a lower notional amount of hedging contrac</w:t>
      </w:r>
      <w:r>
        <w:rPr>
          <w:sz w:val="20"/>
          <w:szCs w:val="20"/>
        </w:rPr>
        <w:t>ts that were settled physically.  </w:t>
      </w:r>
    </w:p>
    <w:p w:rsidR="00000000" w:rsidRDefault="00827839">
      <w:pPr>
        <w:pStyle w:val="a3"/>
        <w:spacing w:before="240" w:beforeAutospacing="0" w:after="0" w:afterAutospacing="0"/>
        <w:ind w:firstLine="556"/>
        <w:jc w:val="both"/>
        <w:rPr>
          <w:sz w:val="20"/>
          <w:szCs w:val="20"/>
        </w:rPr>
      </w:pPr>
      <w:r>
        <w:rPr>
          <w:sz w:val="20"/>
          <w:szCs w:val="20"/>
        </w:rPr>
        <w:t>Cost of products sold associated with our fuel oil and refined fuels segment of $63.1 million for fiscal 2019 decreased $1.2 million, or 1.9%, compared to the prior year, primarily due to lower volumes sold, which was off</w:t>
      </w:r>
      <w:r>
        <w:rPr>
          <w:sz w:val="20"/>
          <w:szCs w:val="20"/>
        </w:rPr>
        <w:t>set to an extent by higher average wholesale costs.  Lower volumes sold resulted in a decrease in cost of products sold of $2.5 million over the prior year.</w:t>
      </w:r>
    </w:p>
    <w:p w:rsidR="00000000" w:rsidRDefault="00827839">
      <w:pPr>
        <w:pStyle w:val="a3"/>
        <w:spacing w:before="240" w:beforeAutospacing="0" w:after="0" w:afterAutospacing="0"/>
        <w:ind w:firstLine="556"/>
        <w:jc w:val="both"/>
        <w:rPr>
          <w:sz w:val="20"/>
          <w:szCs w:val="20"/>
        </w:rPr>
      </w:pPr>
      <w:r>
        <w:rPr>
          <w:sz w:val="20"/>
          <w:szCs w:val="20"/>
        </w:rPr>
        <w:t>Cost of products sold in our natural gas and electricity segment of $27.0 million for fiscal 2019 d</w:t>
      </w:r>
      <w:r>
        <w:rPr>
          <w:sz w:val="20"/>
          <w:szCs w:val="20"/>
        </w:rPr>
        <w:t>ecreased $5.9 million, or 17.9%, compared to the prior year, primarily due to lower electricity usage.</w:t>
      </w:r>
    </w:p>
    <w:p w:rsidR="00000000" w:rsidRDefault="00827839">
      <w:pPr>
        <w:pStyle w:val="a3"/>
        <w:spacing w:before="240" w:beforeAutospacing="0" w:after="0" w:afterAutospacing="0"/>
        <w:ind w:firstLine="556"/>
        <w:jc w:val="both"/>
        <w:rPr>
          <w:sz w:val="20"/>
          <w:szCs w:val="20"/>
        </w:rPr>
      </w:pPr>
      <w:r>
        <w:rPr>
          <w:sz w:val="20"/>
          <w:szCs w:val="20"/>
        </w:rPr>
        <w:t>Total cost of products sold as a percent of total revenues decreased 2.9 percentage points to 41.2% in fiscal 2019 from 44.1% in the prior year, primaril</w:t>
      </w:r>
      <w:r>
        <w:rPr>
          <w:sz w:val="20"/>
          <w:szCs w:val="20"/>
        </w:rPr>
        <w:t>y due to the decline in wholesale costs outpacing the decline in average selling prices on a percentage basis, offset to an extent by an increase in propane costs resulting from risk management activities, net of the impact of mark-to-mark adjustments on d</w:t>
      </w:r>
      <w:r>
        <w:rPr>
          <w:sz w:val="20"/>
          <w:szCs w:val="20"/>
        </w:rPr>
        <w:t>erivative instruments.</w:t>
      </w:r>
    </w:p>
    <w:p w:rsidR="00000000" w:rsidRDefault="00827839">
      <w:pPr>
        <w:pStyle w:val="a3"/>
        <w:spacing w:before="360" w:beforeAutospacing="0" w:after="0" w:afterAutospacing="0"/>
        <w:jc w:val="both"/>
        <w:rPr>
          <w:i/>
          <w:iCs/>
          <w:sz w:val="20"/>
          <w:szCs w:val="20"/>
        </w:rPr>
      </w:pPr>
      <w:r>
        <w:rPr>
          <w:i/>
          <w:iCs/>
          <w:sz w:val="20"/>
          <w:szCs w:val="20"/>
        </w:rPr>
        <w:t>Operating Expenses</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6"/>
        <w:gridCol w:w="65"/>
        <w:gridCol w:w="115"/>
        <w:gridCol w:w="665"/>
        <w:gridCol w:w="182"/>
        <w:gridCol w:w="65"/>
        <w:gridCol w:w="115"/>
        <w:gridCol w:w="665"/>
        <w:gridCol w:w="182"/>
        <w:gridCol w:w="65"/>
        <w:gridCol w:w="116"/>
        <w:gridCol w:w="557"/>
        <w:gridCol w:w="65"/>
        <w:gridCol w:w="65"/>
        <w:gridCol w:w="67"/>
        <w:gridCol w:w="568"/>
        <w:gridCol w:w="182"/>
      </w:tblGrid>
      <w:tr w:rsidR="00000000">
        <w:trPr>
          <w:divId w:val="155827749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5827749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5827749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58277493"/>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Operating expenses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402,957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397,489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5,468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558277493"/>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All costs of operating our retail distribution and appliance sales and service operations are reported within operating expenses in the consolidated statements of operations.  These operating expenses include the compensation and benefits of field and dire</w:t>
      </w:r>
      <w:r>
        <w:rPr>
          <w:sz w:val="20"/>
          <w:szCs w:val="20"/>
        </w:rPr>
        <w:t>ct operating support personnel, costs of operating and maintaining our vehicle fleet, overhead and other costs of our purchasing, training and safety departments and other direct and indirect costs of operating our customer service centers.</w:t>
      </w:r>
    </w:p>
    <w:p w:rsidR="00000000" w:rsidRDefault="00827839">
      <w:pPr>
        <w:pStyle w:val="a3"/>
        <w:spacing w:before="240" w:beforeAutospacing="0" w:after="0" w:afterAutospacing="0"/>
        <w:ind w:firstLine="556"/>
        <w:jc w:val="both"/>
        <w:rPr>
          <w:sz w:val="20"/>
          <w:szCs w:val="20"/>
        </w:rPr>
      </w:pPr>
      <w:r>
        <w:rPr>
          <w:sz w:val="20"/>
          <w:szCs w:val="20"/>
        </w:rPr>
        <w:t>Operating expen</w:t>
      </w:r>
      <w:r>
        <w:rPr>
          <w:sz w:val="20"/>
          <w:szCs w:val="20"/>
        </w:rPr>
        <w:t>ses of $403.0 million for fiscal 2019 increased $5.5 million, or 1.4%, compared to $397.5 million in the prior year, primarily due to higher payroll and benefit-related costs and higher vehicle repairs and maintenance costs, offset to an extent by lower ba</w:t>
      </w:r>
      <w:r>
        <w:rPr>
          <w:sz w:val="20"/>
          <w:szCs w:val="20"/>
        </w:rPr>
        <w:t xml:space="preserve">d debt expense. </w:t>
      </w:r>
    </w:p>
    <w:p w:rsidR="00000000" w:rsidRDefault="00827839">
      <w:pPr>
        <w:pStyle w:val="a3"/>
        <w:spacing w:before="360" w:beforeAutospacing="0" w:after="0" w:afterAutospacing="0"/>
        <w:jc w:val="both"/>
        <w:rPr>
          <w:i/>
          <w:iCs/>
          <w:sz w:val="20"/>
          <w:szCs w:val="20"/>
        </w:rPr>
      </w:pPr>
      <w:r>
        <w:rPr>
          <w:i/>
          <w:iCs/>
          <w:sz w:val="20"/>
          <w:szCs w:val="20"/>
        </w:rPr>
        <w:t>General and Administrative Expenses</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6"/>
        <w:gridCol w:w="65"/>
        <w:gridCol w:w="115"/>
        <w:gridCol w:w="629"/>
        <w:gridCol w:w="182"/>
        <w:gridCol w:w="65"/>
        <w:gridCol w:w="115"/>
        <w:gridCol w:w="629"/>
        <w:gridCol w:w="182"/>
        <w:gridCol w:w="65"/>
        <w:gridCol w:w="116"/>
        <w:gridCol w:w="629"/>
        <w:gridCol w:w="65"/>
        <w:gridCol w:w="65"/>
        <w:gridCol w:w="67"/>
        <w:gridCol w:w="568"/>
        <w:gridCol w:w="182"/>
      </w:tblGrid>
      <w:tr w:rsidR="00000000">
        <w:trPr>
          <w:divId w:val="2060207895"/>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60207895"/>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60207895"/>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60207895"/>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General and administrative expenses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71,034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66,246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060207895"/>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sz w:val="20"/>
          <w:szCs w:val="20"/>
        </w:rPr>
        <w:t>and the information systems functions are reported within general and administrative expenses in the consolidated statements of operations.</w:t>
      </w:r>
    </w:p>
    <w:p w:rsidR="00000000" w:rsidRDefault="00827839">
      <w:pPr>
        <w:pStyle w:val="a3"/>
        <w:spacing w:before="240" w:beforeAutospacing="0" w:after="0" w:afterAutospacing="0"/>
        <w:ind w:firstLine="556"/>
        <w:jc w:val="both"/>
        <w:rPr>
          <w:sz w:val="20"/>
          <w:szCs w:val="20"/>
        </w:rPr>
      </w:pPr>
      <w:r>
        <w:rPr>
          <w:sz w:val="20"/>
          <w:szCs w:val="20"/>
        </w:rPr>
        <w:t>General and administrative expenses of $71.0 million for fiscal 2019 increased $4.8 million, or 7.2%, compared to $6</w:t>
      </w:r>
      <w:r>
        <w:rPr>
          <w:sz w:val="20"/>
          <w:szCs w:val="20"/>
        </w:rPr>
        <w:t>6.2 million in the prior year, primarily due to higher variable compensation expenses under long-term incentive plans and higher professional services fees for marketing and advertising initiatives.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30</w:t>
      </w:r>
    </w:p>
    <w:p w:rsidR="00000000" w:rsidRDefault="00827839">
      <w:pPr>
        <w:rPr>
          <w:rFonts w:eastAsia="Times New Roman"/>
        </w:rPr>
      </w:pPr>
      <w:r>
        <w:rPr>
          <w:rFonts w:eastAsia="Times New Roman"/>
        </w:rPr>
        <w:pict>
          <v:rect id="_x0000_i105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i/>
          <w:iCs/>
          <w:sz w:val="20"/>
          <w:szCs w:val="20"/>
        </w:rPr>
      </w:pPr>
      <w:r>
        <w:rPr>
          <w:i/>
          <w:iCs/>
          <w:sz w:val="20"/>
          <w:szCs w:val="20"/>
        </w:rPr>
        <w:t>Depreciation and Amortization</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80"/>
        <w:gridCol w:w="65"/>
        <w:gridCol w:w="115"/>
        <w:gridCol w:w="665"/>
        <w:gridCol w:w="182"/>
        <w:gridCol w:w="65"/>
        <w:gridCol w:w="115"/>
        <w:gridCol w:w="665"/>
        <w:gridCol w:w="182"/>
        <w:gridCol w:w="65"/>
        <w:gridCol w:w="115"/>
        <w:gridCol w:w="532"/>
        <w:gridCol w:w="82"/>
        <w:gridCol w:w="65"/>
        <w:gridCol w:w="67"/>
        <w:gridCol w:w="566"/>
        <w:gridCol w:w="249"/>
      </w:tblGrid>
      <w:tr w:rsidR="00000000">
        <w:trPr>
          <w:divId w:val="543369819"/>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43369819"/>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43369819"/>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43369819"/>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543369819"/>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 xml:space="preserve">Depreciation and amortization expense of $120.9 million in fiscal 2019 decreased $4.4 million from $125.2 million in the prior year, primarily as a result of accelerated depreciation expense recorded in the prior year for assets taken out of service. </w:t>
      </w:r>
    </w:p>
    <w:p w:rsidR="00000000" w:rsidRDefault="00827839">
      <w:pPr>
        <w:pStyle w:val="a3"/>
        <w:spacing w:before="360" w:beforeAutospacing="0" w:after="0" w:afterAutospacing="0"/>
        <w:jc w:val="both"/>
        <w:rPr>
          <w:i/>
          <w:iCs/>
          <w:sz w:val="20"/>
          <w:szCs w:val="20"/>
        </w:rPr>
      </w:pPr>
      <w:r>
        <w:rPr>
          <w:i/>
          <w:iCs/>
          <w:sz w:val="20"/>
          <w:szCs w:val="20"/>
        </w:rPr>
        <w:t>Inte</w:t>
      </w:r>
      <w:r>
        <w:rPr>
          <w:i/>
          <w:iCs/>
          <w:sz w:val="20"/>
          <w:szCs w:val="20"/>
        </w:rPr>
        <w:t>rest Expense, net</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23"/>
        <w:gridCol w:w="65"/>
        <w:gridCol w:w="115"/>
        <w:gridCol w:w="604"/>
        <w:gridCol w:w="182"/>
        <w:gridCol w:w="65"/>
        <w:gridCol w:w="115"/>
        <w:gridCol w:w="607"/>
        <w:gridCol w:w="182"/>
        <w:gridCol w:w="65"/>
        <w:gridCol w:w="116"/>
        <w:gridCol w:w="607"/>
        <w:gridCol w:w="82"/>
        <w:gridCol w:w="65"/>
        <w:gridCol w:w="67"/>
        <w:gridCol w:w="566"/>
        <w:gridCol w:w="249"/>
      </w:tblGrid>
      <w:tr w:rsidR="00000000">
        <w:trPr>
          <w:divId w:val="1278441157"/>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78441157"/>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78441157"/>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78441157"/>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278441157"/>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Net interest expense of $76.7 million for fiscal 2019 decreased $0.7 million from $77.4 million in the prior year, driven primarily by a lower average level of outstanding borrowings, partially offset by an increase in short-term benchmark interest rates o</w:t>
      </w:r>
      <w:r>
        <w:rPr>
          <w:sz w:val="20"/>
          <w:szCs w:val="20"/>
        </w:rPr>
        <w:t>n outstanding borrowings under our Revolving Credit Facility.  We reduced total outstanding borrowings under the Revolving Credit Facility by $30.1 million from operating cash flows during fiscal 2019.  See Liquidity and Capital Resources below for additio</w:t>
      </w:r>
      <w:r>
        <w:rPr>
          <w:sz w:val="20"/>
          <w:szCs w:val="20"/>
        </w:rPr>
        <w:t>nal discussion.</w:t>
      </w:r>
    </w:p>
    <w:p w:rsidR="00000000" w:rsidRDefault="00827839">
      <w:pPr>
        <w:pStyle w:val="a3"/>
        <w:spacing w:before="360" w:beforeAutospacing="0" w:after="0" w:afterAutospacing="0"/>
        <w:jc w:val="both"/>
        <w:rPr>
          <w:i/>
          <w:iCs/>
          <w:color w:val="000000"/>
          <w:sz w:val="20"/>
          <w:szCs w:val="20"/>
        </w:rPr>
      </w:pPr>
      <w:r>
        <w:rPr>
          <w:i/>
          <w:iCs/>
          <w:color w:val="000000"/>
          <w:sz w:val="20"/>
          <w:szCs w:val="20"/>
        </w:rPr>
        <w:t>Loss on Sale of Business</w:t>
      </w:r>
    </w:p>
    <w:p w:rsidR="00000000" w:rsidRDefault="00827839">
      <w:pPr>
        <w:pStyle w:val="a3"/>
        <w:spacing w:before="120" w:beforeAutospacing="0" w:after="0" w:afterAutospacing="0"/>
        <w:ind w:firstLine="556"/>
        <w:jc w:val="both"/>
        <w:rPr>
          <w:sz w:val="20"/>
          <w:szCs w:val="20"/>
        </w:rPr>
      </w:pPr>
      <w:r>
        <w:rPr>
          <w:sz w:val="20"/>
          <w:szCs w:val="20"/>
        </w:rPr>
        <w:t>During the first quarter of fiscal 2018, we sold certain assets and operations in a non-strategic market of our propane segment for $2.8 million plus working capital consideration, resulting in a loss of $4.8 millio</w:t>
      </w:r>
      <w:r>
        <w:rPr>
          <w:sz w:val="20"/>
          <w:szCs w:val="20"/>
        </w:rPr>
        <w:t>n.  The corresponding net assets and results of operations were not material to our results of operations, financial position and cash flows.</w:t>
      </w:r>
    </w:p>
    <w:p w:rsidR="00000000" w:rsidRDefault="00827839">
      <w:pPr>
        <w:pStyle w:val="a3"/>
        <w:spacing w:before="360" w:beforeAutospacing="0" w:after="0" w:afterAutospacing="0"/>
        <w:jc w:val="both"/>
        <w:rPr>
          <w:i/>
          <w:iCs/>
          <w:sz w:val="20"/>
          <w:szCs w:val="20"/>
        </w:rPr>
      </w:pPr>
      <w:r>
        <w:rPr>
          <w:i/>
          <w:iCs/>
          <w:sz w:val="20"/>
          <w:szCs w:val="20"/>
        </w:rPr>
        <w:t>Net Income and Adjusted EBITDA</w:t>
      </w:r>
    </w:p>
    <w:p w:rsidR="00000000" w:rsidRDefault="00827839">
      <w:pPr>
        <w:pStyle w:val="a3"/>
        <w:spacing w:before="120" w:beforeAutospacing="0" w:after="0" w:afterAutospacing="0"/>
        <w:ind w:firstLine="556"/>
        <w:jc w:val="both"/>
        <w:rPr>
          <w:sz w:val="20"/>
          <w:szCs w:val="20"/>
        </w:rPr>
      </w:pPr>
      <w:r>
        <w:rPr>
          <w:sz w:val="20"/>
          <w:szCs w:val="20"/>
        </w:rPr>
        <w:t>Net income for fiscal 2019 amounted to $68.6 million, or $1.11 per Common Unit, com</w:t>
      </w:r>
      <w:r>
        <w:rPr>
          <w:sz w:val="20"/>
          <w:szCs w:val="20"/>
        </w:rPr>
        <w:t>pared to $76.5 million, or $1.24 per Common Unit, in fiscal 2018. Earnings before interest, taxes, depreciation and amortization (“EBITDA”) for fiscal 2019 amounted to $267.0 million, compared to $278.5 million for fiscal 2018.</w:t>
      </w:r>
    </w:p>
    <w:p w:rsidR="00000000" w:rsidRDefault="00827839">
      <w:pPr>
        <w:pStyle w:val="a3"/>
        <w:spacing w:before="240" w:beforeAutospacing="0" w:after="0" w:afterAutospacing="0"/>
        <w:ind w:firstLine="556"/>
        <w:jc w:val="both"/>
        <w:rPr>
          <w:sz w:val="20"/>
          <w:szCs w:val="20"/>
        </w:rPr>
      </w:pPr>
      <w:r>
        <w:rPr>
          <w:sz w:val="20"/>
          <w:szCs w:val="20"/>
        </w:rPr>
        <w:t>Net income and EBITDA for fi</w:t>
      </w:r>
      <w:r>
        <w:rPr>
          <w:sz w:val="20"/>
          <w:szCs w:val="20"/>
        </w:rPr>
        <w:t>scal 2018 included a $4.8 million loss from the sale of certain assets and operations in a non-strategic market of the propane segment.  Excluding the effects of this item, as well as the unrealized (non-cash) mark-to-market adjustments on derivative instr</w:t>
      </w:r>
      <w:r>
        <w:rPr>
          <w:sz w:val="20"/>
          <w:szCs w:val="20"/>
        </w:rPr>
        <w:t>uments in both years, Adjusted EBITDA amounted to $275.0 million for fiscal 2019, compared to Adjusted EBITDA of $283.0 million for fiscal 2018.</w:t>
      </w:r>
    </w:p>
    <w:p w:rsidR="00000000" w:rsidRDefault="00827839">
      <w:pPr>
        <w:pStyle w:val="a3"/>
        <w:spacing w:before="240" w:beforeAutospacing="0" w:after="0" w:afterAutospacing="0"/>
        <w:ind w:firstLine="556"/>
        <w:jc w:val="both"/>
        <w:rPr>
          <w:sz w:val="20"/>
          <w:szCs w:val="20"/>
        </w:rPr>
      </w:pPr>
      <w:r>
        <w:rPr>
          <w:sz w:val="20"/>
          <w:szCs w:val="20"/>
        </w:rPr>
        <w:t>EBITDA represents net income before deducting interest expense, income taxes, depreciation and amortization.  A</w:t>
      </w:r>
      <w:r>
        <w:rPr>
          <w:sz w:val="20"/>
          <w:szCs w:val="20"/>
        </w:rPr>
        <w:t>djusted EBITDA represents EBITDA excluding the unrealized net gain or loss on mark-to-market activity for derivative instruments and other items, as applicable, as provided in the table below.  Our management uses EBITDA and Adjusted EBITDA as supplemental</w:t>
      </w:r>
      <w:r>
        <w:rPr>
          <w:sz w:val="20"/>
          <w:szCs w:val="20"/>
        </w:rPr>
        <w:t xml:space="preserve"> measures of operating performance and we are including them because we believe that they provide our investors and industry analysts with additional information to evaluate our operating results.  EBITDA and Adjusted EBITDA are not recognized terms under </w:t>
      </w:r>
      <w:r>
        <w:rPr>
          <w:sz w:val="20"/>
          <w:szCs w:val="20"/>
        </w:rPr>
        <w:t>US GAAP and should not be considered as an alternative to net income or net cash provided by operating activities determined in accordance with US GAAP.  Because EBITDA and Adjusted EBITDA as determined by us excludes some, but not all, items that affect n</w:t>
      </w:r>
      <w:r>
        <w:rPr>
          <w:sz w:val="20"/>
          <w:szCs w:val="20"/>
        </w:rPr>
        <w:t>et income, they may not be comparable to EBITDA and Adjusted EBITDA or similarly titled measures used by other companies.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31</w:t>
      </w:r>
    </w:p>
    <w:p w:rsidR="00000000" w:rsidRDefault="00827839">
      <w:pPr>
        <w:rPr>
          <w:rFonts w:eastAsia="Times New Roman"/>
        </w:rPr>
      </w:pPr>
      <w:r>
        <w:rPr>
          <w:rFonts w:eastAsia="Times New Roman"/>
        </w:rPr>
        <w:pict>
          <v:rect id="_x0000_i105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The following table sets forth o</w:t>
      </w:r>
      <w:r>
        <w:rPr>
          <w:sz w:val="20"/>
          <w:szCs w:val="20"/>
        </w:rPr>
        <w:t>ur calculations of EBITDA and Adjusted EBITDA:</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72"/>
        <w:gridCol w:w="65"/>
        <w:gridCol w:w="115"/>
        <w:gridCol w:w="717"/>
        <w:gridCol w:w="65"/>
        <w:gridCol w:w="65"/>
        <w:gridCol w:w="115"/>
        <w:gridCol w:w="718"/>
        <w:gridCol w:w="82"/>
      </w:tblGrid>
      <w:tr w:rsidR="00000000">
        <w:trPr>
          <w:divId w:val="864752964"/>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64752964"/>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64752964"/>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64752964"/>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64752964"/>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Add:</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64752964"/>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Provision for (benefit from) income taxes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64752964"/>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Interest expense, net</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64752964"/>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64752964"/>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267,024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278,533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64752964"/>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Unrealized (non-cash) losses (gains) on changes in fair value</w:t>
            </w:r>
          </w:p>
          <w:p w:rsidR="00000000" w:rsidRDefault="00827839">
            <w:pPr>
              <w:pStyle w:val="a3"/>
              <w:spacing w:before="0" w:beforeAutospacing="0" w:after="0" w:afterAutospacing="0"/>
              <w:rPr>
                <w:color w:val="000000"/>
                <w:sz w:val="20"/>
                <w:szCs w:val="20"/>
              </w:rPr>
            </w:pPr>
            <w:r>
              <w:rPr>
                <w:color w:val="000000"/>
                <w:sz w:val="20"/>
                <w:szCs w:val="20"/>
              </w:rPr>
              <w:t>   of derivatives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64752964"/>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sale of business</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64752964"/>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275,032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160" w:beforeAutospacing="0" w:after="0" w:afterAutospacing="0"/>
        <w:rPr>
          <w:b/>
          <w:bCs/>
          <w:i/>
          <w:iCs/>
          <w:sz w:val="20"/>
          <w:szCs w:val="20"/>
        </w:rPr>
      </w:pPr>
      <w:r>
        <w:rPr>
          <w:b/>
          <w:bCs/>
          <w:i/>
          <w:iCs/>
          <w:sz w:val="20"/>
          <w:szCs w:val="20"/>
        </w:rPr>
        <w:t>Fiscal Year 2018 Compared to Fiscal Year 2017</w:t>
      </w:r>
    </w:p>
    <w:p w:rsidR="00000000" w:rsidRDefault="00827839">
      <w:pPr>
        <w:pStyle w:val="a3"/>
        <w:spacing w:before="120" w:beforeAutospacing="0" w:after="0" w:afterAutospacing="0"/>
        <w:jc w:val="both"/>
        <w:rPr>
          <w:i/>
          <w:iCs/>
          <w:sz w:val="20"/>
          <w:szCs w:val="20"/>
        </w:rPr>
      </w:pPr>
      <w:r>
        <w:rPr>
          <w:i/>
          <w:iCs/>
          <w:sz w:val="20"/>
          <w:szCs w:val="20"/>
        </w:rPr>
        <w:t>Revenues</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379"/>
        <w:gridCol w:w="65"/>
        <w:gridCol w:w="115"/>
        <w:gridCol w:w="815"/>
        <w:gridCol w:w="65"/>
        <w:gridCol w:w="65"/>
        <w:gridCol w:w="115"/>
        <w:gridCol w:w="815"/>
        <w:gridCol w:w="65"/>
        <w:gridCol w:w="65"/>
        <w:gridCol w:w="115"/>
        <w:gridCol w:w="665"/>
        <w:gridCol w:w="82"/>
        <w:gridCol w:w="65"/>
        <w:gridCol w:w="73"/>
        <w:gridCol w:w="662"/>
        <w:gridCol w:w="249"/>
      </w:tblGrid>
      <w:tr w:rsidR="00000000">
        <w:trPr>
          <w:divId w:val="2977262"/>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and gallons in thousands)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77262"/>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77262"/>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7726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r>
      <w:tr w:rsidR="00000000">
        <w:trPr>
          <w:divId w:val="297726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1,153,323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1,011,078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142,245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7726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91,520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78,126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13,394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7726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54,308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55,103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7726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45,262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43,579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7726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1,344,413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1,187,886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156,527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7726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Retail gallons sold</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97726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439,955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420,770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19,185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7726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30,895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bl>
    <w:p w:rsidR="00000000" w:rsidRDefault="00827839">
      <w:pPr>
        <w:pStyle w:val="a3"/>
        <w:spacing w:before="0" w:beforeAutospacing="0" w:after="0" w:afterAutospacing="0"/>
        <w:ind w:firstLine="556"/>
        <w:jc w:val="both"/>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Total revenues increased $156.5 million, or 13.2%, to $1,344.4 million for fiscal 2018 compared to $1,187.9 million for the prior year due to higher average selling prices associated with higher wholesale costs and higher volumes sold.  As discussed above,</w:t>
      </w:r>
      <w:r>
        <w:rPr>
          <w:sz w:val="20"/>
          <w:szCs w:val="20"/>
        </w:rPr>
        <w:t xml:space="preserve"> average temperatures (as measured in heating degree days) across all of our service territories for fiscal 2018 were 8% cooler than the prior year, albeit 7% warmer than normal.  The cooler temperatures compared to the prior year were experienced througho</w:t>
      </w:r>
      <w:r>
        <w:rPr>
          <w:sz w:val="20"/>
          <w:szCs w:val="20"/>
        </w:rPr>
        <w:t>ut the majority of our service territories, which contributed to an increase in customer demand for heating needs.</w:t>
      </w:r>
    </w:p>
    <w:p w:rsidR="00000000" w:rsidRDefault="00827839">
      <w:pPr>
        <w:pStyle w:val="a3"/>
        <w:spacing w:before="240" w:beforeAutospacing="0" w:after="0" w:afterAutospacing="0"/>
        <w:ind w:firstLine="556"/>
        <w:jc w:val="both"/>
        <w:rPr>
          <w:sz w:val="20"/>
          <w:szCs w:val="20"/>
        </w:rPr>
      </w:pPr>
      <w:r>
        <w:rPr>
          <w:sz w:val="20"/>
          <w:szCs w:val="20"/>
        </w:rPr>
        <w:t>Revenues from the distribution of propane and related activities of $1,153.3 million for fiscal 2018 increased $142.2 million, or 14.1%, comp</w:t>
      </w:r>
      <w:r>
        <w:rPr>
          <w:sz w:val="20"/>
          <w:szCs w:val="20"/>
        </w:rPr>
        <w:t xml:space="preserve">ared to $1,011.1 million for the prior year, primarily due to higher average retail selling prices associated with a rise in wholesale costs, coupled with higher retail volumes sold.  Average propane selling prices for fiscal 2018 increased 10.5% compared </w:t>
      </w:r>
      <w:r>
        <w:rPr>
          <w:sz w:val="20"/>
          <w:szCs w:val="20"/>
        </w:rPr>
        <w:t>to the prior year, resulting in a $107.8 million increase in revenues.  Retail propane gallons sold in fiscal 2018 increased 19.2 million gallons, or 4.6%, to 440.0 million gallons, resulting in an increase in revenues of $44.7 million.  Included within th</w:t>
      </w:r>
      <w:r>
        <w:rPr>
          <w:sz w:val="20"/>
          <w:szCs w:val="20"/>
        </w:rPr>
        <w:t>e propane segment are revenues from risk management activities of $19.5 million for fiscal 2018, which decreased $10.3 million due to a lower notional amount of hedging contracts that were settled physically.</w:t>
      </w:r>
    </w:p>
    <w:p w:rsidR="00000000" w:rsidRDefault="00827839">
      <w:pPr>
        <w:pStyle w:val="a3"/>
        <w:spacing w:before="240" w:beforeAutospacing="0" w:after="0" w:afterAutospacing="0"/>
        <w:ind w:firstLine="556"/>
        <w:jc w:val="both"/>
        <w:rPr>
          <w:sz w:val="20"/>
          <w:szCs w:val="20"/>
        </w:rPr>
      </w:pPr>
      <w:r>
        <w:rPr>
          <w:sz w:val="20"/>
          <w:szCs w:val="20"/>
        </w:rPr>
        <w:t xml:space="preserve">Revenues from the distribution of fuel oil and </w:t>
      </w:r>
      <w:r>
        <w:rPr>
          <w:sz w:val="20"/>
          <w:szCs w:val="20"/>
        </w:rPr>
        <w:t>refined fuels of $91.5 million for fiscal 2018 increased $13.4 million, or 17.1%, from $78.1 million for the prior year, primarily due to an increase in average selling prices associated with higher wholesale costs. Volumes sold of 31.0 million gallons wer</w:t>
      </w:r>
      <w:r>
        <w:rPr>
          <w:sz w:val="20"/>
          <w:szCs w:val="20"/>
        </w:rPr>
        <w:t xml:space="preserve">e up slightly from the prior year.  Average selling prices in our fuel oil and refined fuels segment increased 16.4%, resulting in a $12.8 million increase in revenues, with the remainder of the increase in revenues coming from the aforementioned increase </w:t>
      </w:r>
      <w:r>
        <w:rPr>
          <w:sz w:val="20"/>
          <w:szCs w:val="20"/>
        </w:rPr>
        <w:t>in gallons sold.  </w:t>
      </w:r>
    </w:p>
    <w:p w:rsidR="00000000" w:rsidRDefault="00827839">
      <w:pPr>
        <w:pStyle w:val="a3"/>
        <w:spacing w:before="240" w:beforeAutospacing="0" w:after="0" w:afterAutospacing="0"/>
        <w:ind w:firstLine="556"/>
        <w:jc w:val="both"/>
        <w:rPr>
          <w:sz w:val="20"/>
          <w:szCs w:val="20"/>
        </w:rPr>
      </w:pPr>
      <w:r>
        <w:rPr>
          <w:sz w:val="20"/>
          <w:szCs w:val="20"/>
        </w:rPr>
        <w:t>Revenues in our natural gas and electricity segment decreased $0.8 million, or 1.4%, to $54.3 million in fiscal 2018 compared to $55.1 million in the prior year as a result of lower electricity usage.</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32</w:t>
      </w:r>
    </w:p>
    <w:p w:rsidR="00000000" w:rsidRDefault="00827839">
      <w:pPr>
        <w:rPr>
          <w:rFonts w:eastAsia="Times New Roman"/>
        </w:rPr>
      </w:pPr>
      <w:r>
        <w:rPr>
          <w:rFonts w:eastAsia="Times New Roman"/>
        </w:rPr>
        <w:pict>
          <v:rect id="_x0000_i105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i/>
          <w:iCs/>
          <w:sz w:val="20"/>
          <w:szCs w:val="20"/>
        </w:rPr>
      </w:pPr>
      <w:r>
        <w:rPr>
          <w:i/>
          <w:iCs/>
          <w:sz w:val="20"/>
          <w:szCs w:val="20"/>
        </w:rPr>
        <w:t xml:space="preserve">Cost of Products Sold </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63"/>
        <w:gridCol w:w="65"/>
        <w:gridCol w:w="115"/>
        <w:gridCol w:w="665"/>
        <w:gridCol w:w="182"/>
        <w:gridCol w:w="65"/>
        <w:gridCol w:w="115"/>
        <w:gridCol w:w="665"/>
        <w:gridCol w:w="182"/>
        <w:gridCol w:w="65"/>
        <w:gridCol w:w="115"/>
        <w:gridCol w:w="665"/>
        <w:gridCol w:w="65"/>
        <w:gridCol w:w="65"/>
        <w:gridCol w:w="67"/>
        <w:gridCol w:w="534"/>
        <w:gridCol w:w="182"/>
      </w:tblGrid>
      <w:tr w:rsidR="00000000">
        <w:trPr>
          <w:divId w:val="1582980896"/>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582980896"/>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82980896"/>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82980896"/>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Cost of products sold</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r>
      <w:tr w:rsidR="00000000">
        <w:trPr>
          <w:divId w:val="1582980896"/>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481,991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380,402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101,589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582980896"/>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64,330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51,013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582980896"/>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32,917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32,483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582980896"/>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13,392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582980896"/>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cost of products sold</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592,630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476,661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115,969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582980896"/>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
                <w:szCs w:val="2"/>
              </w:rPr>
            </w:pPr>
            <w:r>
              <w:rPr>
                <w:b/>
                <w:bCs/>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From a commodity perspective, propane inventory levels in the United States increased slightly during fiscal 2018 yet remained slightly lower than historical levels due to, among other things, continued strength in the export of propane to international ma</w:t>
      </w:r>
      <w:r>
        <w:rPr>
          <w:sz w:val="20"/>
          <w:szCs w:val="20"/>
        </w:rPr>
        <w:t>rkets, which put significant upward pressure on propane prices. As of September 2018, inventory levels in the United States were 1% higher than September 2017 but approximately 10% lower than the 5-year average.  Overall, average posted propane prices (bas</w:t>
      </w:r>
      <w:r>
        <w:rPr>
          <w:sz w:val="20"/>
          <w:szCs w:val="20"/>
        </w:rPr>
        <w:t>is Mont Belvieu, Texas) and fuel oil prices during fiscal 2018 were 36.0% and 29.5% higher than the prior year, respectively.  The net change in the fair value of derivative instruments during the period resulted in unrealized (non-cash) gains of $0.3 mill</w:t>
      </w:r>
      <w:r>
        <w:rPr>
          <w:sz w:val="20"/>
          <w:szCs w:val="20"/>
        </w:rPr>
        <w:t>ion and $6.3 million reported in cost of products sold in fiscal 2018 and 2017, respectively, resulting in an increase of $6.0 million in cost of products sold in fiscal 2018 compared to the prior year, all of which was reported in the propane segment.</w:t>
      </w:r>
    </w:p>
    <w:p w:rsidR="00000000" w:rsidRDefault="00827839">
      <w:pPr>
        <w:pStyle w:val="a3"/>
        <w:spacing w:before="240" w:beforeAutospacing="0" w:after="0" w:afterAutospacing="0"/>
        <w:ind w:firstLine="556"/>
        <w:jc w:val="both"/>
        <w:rPr>
          <w:sz w:val="20"/>
          <w:szCs w:val="20"/>
        </w:rPr>
      </w:pPr>
      <w:r>
        <w:rPr>
          <w:sz w:val="20"/>
          <w:szCs w:val="20"/>
        </w:rPr>
        <w:t>Cost of products sold associated with the distribution of propane and related activities of $482.0 million for fiscal 2018 increased $101.6 million, or 26.7%, compared to the prior year, primarily due to a rise in wholesale costs coupled with higher volume</w:t>
      </w:r>
      <w:r>
        <w:rPr>
          <w:sz w:val="20"/>
          <w:szCs w:val="20"/>
        </w:rPr>
        <w:t>s sold.  Higher average propane costs and higher propane volumes sold during fiscal 2018 resulted in an increase of $111.2 million and $16.3 million, respectively.  Cost of products sold from risk management activities decreased $31.9 million compared to t</w:t>
      </w:r>
      <w:r>
        <w:rPr>
          <w:sz w:val="20"/>
          <w:szCs w:val="20"/>
        </w:rPr>
        <w:t xml:space="preserve">he prior year, primarily due to realized gains (as a result of the rise in commodity prices) on derivative contracts used to hedge price risk associated with propane product purchases and from a lower notional amount of hedging contracts that were settled </w:t>
      </w:r>
      <w:r>
        <w:rPr>
          <w:sz w:val="20"/>
          <w:szCs w:val="20"/>
        </w:rPr>
        <w:t>physically.  </w:t>
      </w:r>
    </w:p>
    <w:p w:rsidR="00000000" w:rsidRDefault="00827839">
      <w:pPr>
        <w:pStyle w:val="a3"/>
        <w:spacing w:before="240" w:beforeAutospacing="0" w:after="0" w:afterAutospacing="0"/>
        <w:ind w:firstLine="556"/>
        <w:jc w:val="both"/>
        <w:rPr>
          <w:sz w:val="20"/>
          <w:szCs w:val="20"/>
        </w:rPr>
      </w:pPr>
      <w:r>
        <w:rPr>
          <w:sz w:val="20"/>
          <w:szCs w:val="20"/>
        </w:rPr>
        <w:t>Cost of products sold associated with our fuel oil and refined fuels segment of $64.3 million for fiscal 2018 increased $13.3 million, or 26.1%, compared to the prior year, primarily due to higher fuel oil and refined fuels wholesale costs.  </w:t>
      </w:r>
      <w:r>
        <w:rPr>
          <w:sz w:val="20"/>
          <w:szCs w:val="20"/>
        </w:rPr>
        <w:t>Higher average wholesale costs resulted in an increase of $13.0 million and higher volumes sold resulted in an increase of $0.3 million over the prior year.</w:t>
      </w:r>
    </w:p>
    <w:p w:rsidR="00000000" w:rsidRDefault="00827839">
      <w:pPr>
        <w:pStyle w:val="a3"/>
        <w:spacing w:before="240" w:beforeAutospacing="0" w:after="0" w:afterAutospacing="0"/>
        <w:ind w:firstLine="556"/>
        <w:jc w:val="both"/>
        <w:rPr>
          <w:sz w:val="20"/>
          <w:szCs w:val="20"/>
        </w:rPr>
      </w:pPr>
      <w:r>
        <w:rPr>
          <w:sz w:val="20"/>
          <w:szCs w:val="20"/>
        </w:rPr>
        <w:t>Cost of products sold in our natural gas and electricity segment of $32.9 million for fiscal 2018 i</w:t>
      </w:r>
      <w:r>
        <w:rPr>
          <w:sz w:val="20"/>
          <w:szCs w:val="20"/>
        </w:rPr>
        <w:t>ncreased $0.4 million, or 1.3%, compared to the prior year, primarily due to higher electricity wholesale costs.</w:t>
      </w:r>
    </w:p>
    <w:p w:rsidR="00000000" w:rsidRDefault="00827839">
      <w:pPr>
        <w:pStyle w:val="a3"/>
        <w:spacing w:before="240" w:beforeAutospacing="0" w:after="0" w:afterAutospacing="0"/>
        <w:ind w:firstLine="556"/>
        <w:jc w:val="both"/>
        <w:rPr>
          <w:sz w:val="20"/>
          <w:szCs w:val="20"/>
        </w:rPr>
      </w:pPr>
      <w:r>
        <w:rPr>
          <w:sz w:val="20"/>
          <w:szCs w:val="20"/>
        </w:rPr>
        <w:t>Total cost of products sold as a percent of total revenues increased 4.0 percentage points to 44.1% in fiscal 2018 from 40.1% in the prior year</w:t>
      </w:r>
      <w:r>
        <w:rPr>
          <w:sz w:val="20"/>
          <w:szCs w:val="20"/>
        </w:rPr>
        <w:t>, primarily due to the rise in wholesale costs outpacing the increase in average selling prices on a percentage basis, offset to an extent by a decrease in propane costs resulting from risk management activities, net of the impact of mark-to-mark adjustmen</w:t>
      </w:r>
      <w:r>
        <w:rPr>
          <w:sz w:val="20"/>
          <w:szCs w:val="20"/>
        </w:rPr>
        <w:t>ts on derivative instruments.</w:t>
      </w:r>
    </w:p>
    <w:p w:rsidR="00000000" w:rsidRDefault="00827839">
      <w:pPr>
        <w:pStyle w:val="a3"/>
        <w:spacing w:before="360" w:beforeAutospacing="0" w:after="0" w:afterAutospacing="0"/>
        <w:jc w:val="both"/>
        <w:rPr>
          <w:i/>
          <w:iCs/>
          <w:sz w:val="20"/>
          <w:szCs w:val="20"/>
        </w:rPr>
      </w:pPr>
      <w:r>
        <w:rPr>
          <w:i/>
          <w:iCs/>
          <w:sz w:val="20"/>
          <w:szCs w:val="20"/>
        </w:rPr>
        <w:t>Operating Expenses</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6"/>
        <w:gridCol w:w="65"/>
        <w:gridCol w:w="115"/>
        <w:gridCol w:w="665"/>
        <w:gridCol w:w="182"/>
        <w:gridCol w:w="65"/>
        <w:gridCol w:w="115"/>
        <w:gridCol w:w="665"/>
        <w:gridCol w:w="182"/>
        <w:gridCol w:w="65"/>
        <w:gridCol w:w="116"/>
        <w:gridCol w:w="557"/>
        <w:gridCol w:w="65"/>
        <w:gridCol w:w="65"/>
        <w:gridCol w:w="67"/>
        <w:gridCol w:w="568"/>
        <w:gridCol w:w="182"/>
      </w:tblGrid>
      <w:tr w:rsidR="00000000">
        <w:trPr>
          <w:divId w:val="70402009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0402009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0402009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04020093"/>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Operating expenses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397,489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397,354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704020093"/>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Operating expenses of $397.5 million for fiscal 2018 increased $0.1 million compared to $397.4 million in the prior year, as higher variable operating costs attributable to an increase in deliveries and other operational activities to support higher custom</w:t>
      </w:r>
      <w:r>
        <w:rPr>
          <w:sz w:val="20"/>
          <w:szCs w:val="20"/>
        </w:rPr>
        <w:t xml:space="preserve">er demand, higher fuel costs to operate our fleet, and higher variable compensation expense associated with higher earnings were substantially offset by </w:t>
      </w:r>
      <w:r>
        <w:rPr>
          <w:color w:val="000000"/>
          <w:sz w:val="20"/>
          <w:szCs w:val="20"/>
        </w:rPr>
        <w:t>continued savings from operating efficiencies identified and implemented during fiscal 2018.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33</w:t>
      </w:r>
    </w:p>
    <w:p w:rsidR="00000000" w:rsidRDefault="00827839">
      <w:pPr>
        <w:rPr>
          <w:rFonts w:eastAsia="Times New Roman"/>
        </w:rPr>
      </w:pPr>
      <w:r>
        <w:rPr>
          <w:rFonts w:eastAsia="Times New Roman"/>
        </w:rPr>
        <w:pict>
          <v:rect id="_x0000_i106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i/>
          <w:iCs/>
          <w:sz w:val="20"/>
          <w:szCs w:val="20"/>
        </w:rPr>
      </w:pPr>
      <w:r>
        <w:rPr>
          <w:i/>
          <w:iCs/>
          <w:sz w:val="20"/>
          <w:szCs w:val="20"/>
        </w:rPr>
        <w:t>General and Administrative Expenses</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6"/>
        <w:gridCol w:w="65"/>
        <w:gridCol w:w="115"/>
        <w:gridCol w:w="629"/>
        <w:gridCol w:w="182"/>
        <w:gridCol w:w="65"/>
        <w:gridCol w:w="115"/>
        <w:gridCol w:w="629"/>
        <w:gridCol w:w="182"/>
        <w:gridCol w:w="65"/>
        <w:gridCol w:w="116"/>
        <w:gridCol w:w="629"/>
        <w:gridCol w:w="65"/>
        <w:gridCol w:w="65"/>
        <w:gridCol w:w="67"/>
        <w:gridCol w:w="568"/>
        <w:gridCol w:w="182"/>
      </w:tblGrid>
      <w:tr w:rsidR="00000000">
        <w:trPr>
          <w:divId w:val="147694934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7694934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7694934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76949343"/>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General and administrative expenses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66,246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57,338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8,908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476949343"/>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General and administrative expenses of $66.2 million for fiscal 2018 increased $8.9 million, or 15.5%, compared to $57.3 million in the prior year, primarily due to higher variable compensation expense associated with higher earnings, as well as higher pro</w:t>
      </w:r>
      <w:r>
        <w:rPr>
          <w:sz w:val="20"/>
          <w:szCs w:val="20"/>
        </w:rPr>
        <w:t>fessional services fees.  </w:t>
      </w:r>
    </w:p>
    <w:p w:rsidR="00000000" w:rsidRDefault="00827839">
      <w:pPr>
        <w:pStyle w:val="a3"/>
        <w:spacing w:before="360" w:beforeAutospacing="0" w:after="0" w:afterAutospacing="0"/>
        <w:jc w:val="both"/>
        <w:rPr>
          <w:i/>
          <w:iCs/>
          <w:sz w:val="20"/>
          <w:szCs w:val="20"/>
        </w:rPr>
      </w:pPr>
      <w:r>
        <w:rPr>
          <w:i/>
          <w:iCs/>
          <w:sz w:val="20"/>
          <w:szCs w:val="20"/>
        </w:rPr>
        <w:t>Depreciation and Amortization</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80"/>
        <w:gridCol w:w="65"/>
        <w:gridCol w:w="115"/>
        <w:gridCol w:w="665"/>
        <w:gridCol w:w="182"/>
        <w:gridCol w:w="65"/>
        <w:gridCol w:w="115"/>
        <w:gridCol w:w="665"/>
        <w:gridCol w:w="182"/>
        <w:gridCol w:w="65"/>
        <w:gridCol w:w="115"/>
        <w:gridCol w:w="532"/>
        <w:gridCol w:w="82"/>
        <w:gridCol w:w="65"/>
        <w:gridCol w:w="67"/>
        <w:gridCol w:w="566"/>
        <w:gridCol w:w="249"/>
      </w:tblGrid>
      <w:tr w:rsidR="00000000">
        <w:trPr>
          <w:divId w:val="29795911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795911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795911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97959113"/>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127,938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97959113"/>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Depreciation and amortization expense of $125.2 million in fiscal 2018 decreased $2.7 million from $127.9 million in the prior year, primarily as a result of accelerated depreciation expense recorded in the prior year for assets taken out of service, as we</w:t>
      </w:r>
      <w:r>
        <w:rPr>
          <w:sz w:val="20"/>
          <w:szCs w:val="20"/>
        </w:rPr>
        <w:t xml:space="preserve">ll as one additional week in fiscal 2017. </w:t>
      </w:r>
    </w:p>
    <w:p w:rsidR="00000000" w:rsidRDefault="00827839">
      <w:pPr>
        <w:pStyle w:val="a3"/>
        <w:spacing w:before="360" w:beforeAutospacing="0" w:after="0" w:afterAutospacing="0"/>
        <w:jc w:val="both"/>
        <w:rPr>
          <w:i/>
          <w:iCs/>
          <w:sz w:val="20"/>
          <w:szCs w:val="20"/>
        </w:rPr>
      </w:pPr>
      <w:r>
        <w:rPr>
          <w:i/>
          <w:iCs/>
          <w:sz w:val="20"/>
          <w:szCs w:val="20"/>
        </w:rPr>
        <w:t>Interest Expense, net</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6"/>
        <w:gridCol w:w="65"/>
        <w:gridCol w:w="115"/>
        <w:gridCol w:w="629"/>
        <w:gridCol w:w="182"/>
        <w:gridCol w:w="65"/>
        <w:gridCol w:w="115"/>
        <w:gridCol w:w="629"/>
        <w:gridCol w:w="182"/>
        <w:gridCol w:w="65"/>
        <w:gridCol w:w="116"/>
        <w:gridCol w:w="629"/>
        <w:gridCol w:w="65"/>
        <w:gridCol w:w="65"/>
        <w:gridCol w:w="67"/>
        <w:gridCol w:w="568"/>
        <w:gridCol w:w="182"/>
      </w:tblGrid>
      <w:tr w:rsidR="00000000">
        <w:trPr>
          <w:divId w:val="151691602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1691602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16916023"/>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16916023"/>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75,263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516916023"/>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Net interest expense of $77.4 million for fiscal 2018 increased $2.1 million from $75.3 million in the prior year, driven primarily by a higher average level of outstanding borrowings, and an increase in benchmark interest rates on outstanding borrowings u</w:t>
      </w:r>
      <w:r>
        <w:rPr>
          <w:sz w:val="20"/>
          <w:szCs w:val="20"/>
        </w:rPr>
        <w:t>nder our Revolving Credit Facility.  Despite the increase in average borrowings, we reduced total outstanding borrowings under the Revolving Credit Facility by $19.0 million from operating cash flows during fiscal 2018.  The impact of the foregoing items w</w:t>
      </w:r>
      <w:r>
        <w:rPr>
          <w:sz w:val="20"/>
          <w:szCs w:val="20"/>
        </w:rPr>
        <w:t xml:space="preserve">ere partially offset by savings from the refinancing of our previously outstanding 7.375% senior notes due August 1, 2021 with the issuance of 5.875% senior notes due March 1, 2027 in the second quarter of fiscal 2017.  See Liquidity and Capital Resources </w:t>
      </w:r>
      <w:r>
        <w:rPr>
          <w:sz w:val="20"/>
          <w:szCs w:val="20"/>
        </w:rPr>
        <w:t>below for additional discussion.</w:t>
      </w:r>
    </w:p>
    <w:p w:rsidR="00000000" w:rsidRDefault="00827839">
      <w:pPr>
        <w:pStyle w:val="a3"/>
        <w:spacing w:before="360" w:beforeAutospacing="0" w:after="0" w:afterAutospacing="0"/>
        <w:jc w:val="both"/>
        <w:rPr>
          <w:i/>
          <w:iCs/>
          <w:color w:val="000000"/>
          <w:sz w:val="20"/>
          <w:szCs w:val="20"/>
        </w:rPr>
      </w:pPr>
      <w:r>
        <w:rPr>
          <w:i/>
          <w:iCs/>
          <w:color w:val="000000"/>
          <w:sz w:val="20"/>
          <w:szCs w:val="20"/>
        </w:rPr>
        <w:t>Loss on Sale of Business</w:t>
      </w:r>
    </w:p>
    <w:p w:rsidR="00000000" w:rsidRDefault="00827839">
      <w:pPr>
        <w:pStyle w:val="a3"/>
        <w:spacing w:before="120" w:beforeAutospacing="0" w:after="0" w:afterAutospacing="0"/>
        <w:ind w:firstLine="556"/>
        <w:jc w:val="both"/>
        <w:rPr>
          <w:sz w:val="20"/>
          <w:szCs w:val="20"/>
        </w:rPr>
      </w:pPr>
      <w:r>
        <w:rPr>
          <w:sz w:val="20"/>
          <w:szCs w:val="20"/>
        </w:rPr>
        <w:t>During the first quarter of fiscal 2018, we sold certain assets and operations in a non-strategic market of our propane segment for $2.8 million plus working capital consideration, resulting in a lo</w:t>
      </w:r>
      <w:r>
        <w:rPr>
          <w:sz w:val="20"/>
          <w:szCs w:val="20"/>
        </w:rPr>
        <w:t>ss of $4.8 million.  The corresponding net assets and results of operations were not material to our results of operations, financial position and cash flows.</w:t>
      </w:r>
    </w:p>
    <w:p w:rsidR="00000000" w:rsidRDefault="00827839">
      <w:pPr>
        <w:pStyle w:val="a3"/>
        <w:spacing w:before="360" w:beforeAutospacing="0" w:after="0" w:afterAutospacing="0"/>
        <w:jc w:val="both"/>
        <w:rPr>
          <w:i/>
          <w:iCs/>
          <w:sz w:val="20"/>
          <w:szCs w:val="20"/>
        </w:rPr>
      </w:pPr>
      <w:r>
        <w:rPr>
          <w:i/>
          <w:iCs/>
          <w:sz w:val="20"/>
          <w:szCs w:val="20"/>
        </w:rPr>
        <w:t>Loss on Debt Extinguishment</w:t>
      </w:r>
    </w:p>
    <w:p w:rsidR="00000000" w:rsidRDefault="00827839">
      <w:pPr>
        <w:pStyle w:val="a3"/>
        <w:spacing w:before="120" w:beforeAutospacing="0" w:after="0" w:afterAutospacing="0"/>
        <w:ind w:firstLine="556"/>
        <w:jc w:val="both"/>
        <w:rPr>
          <w:color w:val="000000"/>
          <w:sz w:val="20"/>
          <w:szCs w:val="20"/>
        </w:rPr>
      </w:pPr>
      <w:r>
        <w:rPr>
          <w:color w:val="000000"/>
          <w:sz w:val="20"/>
          <w:szCs w:val="20"/>
        </w:rPr>
        <w:t>On February 14, 2017, we repurchased, satisfied and discharged all of</w:t>
      </w:r>
      <w:r>
        <w:rPr>
          <w:color w:val="000000"/>
          <w:sz w:val="20"/>
          <w:szCs w:val="20"/>
        </w:rPr>
        <w:t xml:space="preserve"> our previously outstanding 2021 Senior Notes with net proceeds from the issuance of the 2027 Senior Notes and borrowings under the Revolving Credit Facility, pursuant to a tender offer and redemption. In connection with this tender offer and redemption du</w:t>
      </w:r>
      <w:r>
        <w:rPr>
          <w:color w:val="000000"/>
          <w:sz w:val="20"/>
          <w:szCs w:val="20"/>
        </w:rPr>
        <w:t>ring the second quarter of fiscal 2017, we recognized a loss on the extinguishment of debt of $1.6 million, consisting of $15.1 million for the redemption premium and related fees, as well as the write-off of $2.3 million and ($15.8) million in unamortized</w:t>
      </w:r>
      <w:r>
        <w:rPr>
          <w:color w:val="000000"/>
          <w:sz w:val="20"/>
          <w:szCs w:val="20"/>
        </w:rPr>
        <w:t xml:space="preserve"> debt origination costs and unamortized premium, respectively.</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34</w:t>
      </w:r>
    </w:p>
    <w:p w:rsidR="00000000" w:rsidRDefault="00827839">
      <w:pPr>
        <w:rPr>
          <w:rFonts w:eastAsia="Times New Roman"/>
        </w:rPr>
      </w:pPr>
      <w:r>
        <w:rPr>
          <w:rFonts w:eastAsia="Times New Roman"/>
        </w:rPr>
        <w:pict>
          <v:rect id="_x0000_i106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i/>
          <w:iCs/>
          <w:sz w:val="20"/>
          <w:szCs w:val="20"/>
        </w:rPr>
      </w:pPr>
      <w:r>
        <w:rPr>
          <w:i/>
          <w:iCs/>
          <w:sz w:val="20"/>
          <w:szCs w:val="20"/>
        </w:rPr>
        <w:t>Net Income and Adjusted EBITDA</w:t>
      </w:r>
    </w:p>
    <w:p w:rsidR="00000000" w:rsidRDefault="00827839">
      <w:pPr>
        <w:pStyle w:val="a3"/>
        <w:spacing w:before="120" w:beforeAutospacing="0" w:after="0" w:afterAutospacing="0"/>
        <w:ind w:firstLine="556"/>
        <w:jc w:val="both"/>
        <w:rPr>
          <w:sz w:val="20"/>
          <w:szCs w:val="20"/>
        </w:rPr>
      </w:pPr>
      <w:r>
        <w:rPr>
          <w:sz w:val="20"/>
          <w:szCs w:val="20"/>
        </w:rPr>
        <w:t>Net income for fiscal 2018 amounted to $76.5 million, or $1.24 per Common Unit, compared to $38.0 million, or $0.62 per Common Unit, in fiscal 2017. Earnings before interest, taxes, depreciation and amortization (“EBITDA”) for fiscal 2018 amounted to $278.</w:t>
      </w:r>
      <w:r>
        <w:rPr>
          <w:sz w:val="20"/>
          <w:szCs w:val="20"/>
        </w:rPr>
        <w:t>5 million, compared to $241.7 million for fiscal 2017.</w:t>
      </w:r>
    </w:p>
    <w:p w:rsidR="00000000" w:rsidRDefault="00827839">
      <w:pPr>
        <w:pStyle w:val="a3"/>
        <w:spacing w:before="240" w:beforeAutospacing="0" w:after="0" w:afterAutospacing="0"/>
        <w:ind w:firstLine="556"/>
        <w:jc w:val="both"/>
        <w:rPr>
          <w:sz w:val="20"/>
          <w:szCs w:val="20"/>
        </w:rPr>
      </w:pPr>
      <w:r>
        <w:rPr>
          <w:sz w:val="20"/>
          <w:szCs w:val="20"/>
        </w:rPr>
        <w:t>Net income and EBITDA for fiscal 2018 included a $4.8 million loss from the sale of certain assets and operations in a non-strategic market of the propane segment.  Net income and EBITDA for fiscal 201</w:t>
      </w:r>
      <w:r>
        <w:rPr>
          <w:sz w:val="20"/>
          <w:szCs w:val="20"/>
        </w:rPr>
        <w:t>7 included: (i) a pension settlement charge of $6.1 million; and (ii) a loss on debt extinguishment of $1.6 million.  Excluding the effects of these items, as well as the unrealized (non-cash) mark-to-market adjustments on derivative instruments in both ye</w:t>
      </w:r>
      <w:r>
        <w:rPr>
          <w:sz w:val="20"/>
          <w:szCs w:val="20"/>
        </w:rPr>
        <w:t>ars, Adjusted EBITDA amounted to $283.0 million for fiscal 2018, compared to Adjusted EBITDA of $243.0 million for fiscal 2017.</w:t>
      </w:r>
    </w:p>
    <w:p w:rsidR="00000000" w:rsidRDefault="00827839">
      <w:pPr>
        <w:pStyle w:val="a3"/>
        <w:spacing w:before="240" w:beforeAutospacing="0" w:after="0" w:afterAutospacing="0"/>
        <w:ind w:firstLine="556"/>
        <w:jc w:val="both"/>
        <w:rPr>
          <w:sz w:val="20"/>
          <w:szCs w:val="20"/>
        </w:rPr>
      </w:pPr>
      <w:r>
        <w:rPr>
          <w:sz w:val="20"/>
          <w:szCs w:val="20"/>
        </w:rPr>
        <w:t>The following table sets forth our calculations of EBITDA and Adjusted EBITDA:</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62"/>
        <w:gridCol w:w="65"/>
        <w:gridCol w:w="115"/>
        <w:gridCol w:w="714"/>
        <w:gridCol w:w="82"/>
        <w:gridCol w:w="65"/>
        <w:gridCol w:w="115"/>
        <w:gridCol w:w="714"/>
        <w:gridCol w:w="82"/>
      </w:tblGrid>
      <w:tr w:rsidR="00000000">
        <w:trPr>
          <w:divId w:val="1005207194"/>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05207194"/>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05207194"/>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0520719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Add:</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(Benefit from) provision for income taxes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Interest expense, net</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75,263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Depreciation and amortization</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127,938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278,533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241,655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Unrealized (non-cash) (gains) on changes in fair value</w:t>
            </w:r>
          </w:p>
          <w:p w:rsidR="00000000" w:rsidRDefault="00827839">
            <w:pPr>
              <w:pStyle w:val="a3"/>
              <w:spacing w:before="0" w:beforeAutospacing="0" w:after="0" w:afterAutospacing="0"/>
              <w:rPr>
                <w:color w:val="000000"/>
                <w:sz w:val="20"/>
                <w:szCs w:val="20"/>
              </w:rPr>
            </w:pPr>
            <w:r>
              <w:rPr>
                <w:color w:val="000000"/>
                <w:sz w:val="20"/>
                <w:szCs w:val="20"/>
              </w:rPr>
              <w:t>   of derivatives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(6,277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00520719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Pension settlement charge</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debt extinguishment</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sale of business</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0520719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243,045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160" w:beforeAutospacing="0" w:after="0" w:afterAutospacing="0"/>
        <w:rPr>
          <w:b/>
          <w:bCs/>
          <w:sz w:val="20"/>
          <w:szCs w:val="20"/>
        </w:rPr>
      </w:pPr>
      <w:r>
        <w:rPr>
          <w:b/>
          <w:bCs/>
          <w:sz w:val="20"/>
          <w:szCs w:val="20"/>
        </w:rPr>
        <w:t>Liquidity and Capital Resources</w:t>
      </w:r>
    </w:p>
    <w:p w:rsidR="00000000" w:rsidRDefault="00827839">
      <w:pPr>
        <w:pStyle w:val="a3"/>
        <w:spacing w:before="120" w:beforeAutospacing="0" w:after="0" w:afterAutospacing="0"/>
        <w:jc w:val="both"/>
        <w:rPr>
          <w:b/>
          <w:bCs/>
          <w:i/>
          <w:iCs/>
          <w:sz w:val="20"/>
          <w:szCs w:val="20"/>
        </w:rPr>
      </w:pPr>
      <w:r>
        <w:rPr>
          <w:b/>
          <w:bCs/>
          <w:i/>
          <w:iCs/>
          <w:sz w:val="20"/>
          <w:szCs w:val="20"/>
        </w:rPr>
        <w:t>Analysis of Cash Flows</w:t>
      </w:r>
    </w:p>
    <w:p w:rsidR="00000000" w:rsidRDefault="00827839">
      <w:pPr>
        <w:pStyle w:val="a3"/>
        <w:spacing w:before="120" w:beforeAutospacing="0" w:after="0" w:afterAutospacing="0"/>
        <w:ind w:firstLine="556"/>
        <w:jc w:val="both"/>
        <w:rPr>
          <w:i/>
          <w:iCs/>
          <w:sz w:val="20"/>
          <w:szCs w:val="20"/>
        </w:rPr>
      </w:pPr>
      <w:r>
        <w:rPr>
          <w:i/>
          <w:iCs/>
          <w:sz w:val="20"/>
          <w:szCs w:val="20"/>
        </w:rPr>
        <w:t>Operating Activities.</w:t>
      </w:r>
      <w:r>
        <w:rPr>
          <w:sz w:val="20"/>
          <w:szCs w:val="20"/>
        </w:rPr>
        <w:t xml:space="preserve"> </w:t>
      </w:r>
      <w:r>
        <w:rPr>
          <w:sz w:val="20"/>
          <w:szCs w:val="20"/>
        </w:rPr>
        <w:t>Net cash provided by operating activities for fiscal 2019 amounted to $226.8 million, an increase of $16.4 million compared to the prior year.  The increase was primarily attributable to a smaller increase in working capital compared to the prior year, ste</w:t>
      </w:r>
      <w:r>
        <w:rPr>
          <w:sz w:val="20"/>
          <w:szCs w:val="20"/>
        </w:rPr>
        <w:t>mming from a decline in average wholesale costs of propane, offset to an extent by lower earnings (discussed above).</w:t>
      </w:r>
    </w:p>
    <w:p w:rsidR="00000000" w:rsidRDefault="00827839">
      <w:pPr>
        <w:pStyle w:val="a3"/>
        <w:spacing w:before="240" w:beforeAutospacing="0" w:after="0" w:afterAutospacing="0"/>
        <w:ind w:firstLine="556"/>
        <w:jc w:val="both"/>
        <w:rPr>
          <w:i/>
          <w:iCs/>
          <w:sz w:val="20"/>
          <w:szCs w:val="20"/>
        </w:rPr>
      </w:pPr>
      <w:r>
        <w:rPr>
          <w:i/>
          <w:iCs/>
          <w:sz w:val="20"/>
          <w:szCs w:val="20"/>
        </w:rPr>
        <w:t>Investing Activities.</w:t>
      </w:r>
      <w:r>
        <w:rPr>
          <w:sz w:val="20"/>
          <w:szCs w:val="20"/>
        </w:rPr>
        <w:t xml:space="preserve"> Net cash used in investing activities of $48.5 million for fiscal 2019 consisted of capital expenditures of $35.0 mil</w:t>
      </w:r>
      <w:r>
        <w:rPr>
          <w:sz w:val="20"/>
          <w:szCs w:val="20"/>
        </w:rPr>
        <w:t xml:space="preserve">lion (including $21.1 million to support the growth of operations and $13.9 million for maintenance expenditures) and $19.3 million used in the acquisition of three retail propane businesses (see Part IV, Note 4 of this Annual Report), partially offset by </w:t>
      </w:r>
      <w:r>
        <w:rPr>
          <w:sz w:val="20"/>
          <w:szCs w:val="20"/>
        </w:rPr>
        <w:t>$5.8 million in net proceeds from the sale of property, plant and equipment.  </w:t>
      </w:r>
    </w:p>
    <w:p w:rsidR="00000000" w:rsidRDefault="00827839">
      <w:pPr>
        <w:pStyle w:val="a3"/>
        <w:spacing w:before="240" w:beforeAutospacing="0" w:after="0" w:afterAutospacing="0"/>
        <w:ind w:firstLine="556"/>
        <w:jc w:val="both"/>
        <w:rPr>
          <w:sz w:val="20"/>
          <w:szCs w:val="20"/>
        </w:rPr>
      </w:pPr>
      <w:r>
        <w:rPr>
          <w:sz w:val="20"/>
          <w:szCs w:val="20"/>
        </w:rPr>
        <w:t>Net cash used in investing activities of $39.1 million for fiscal 2018 consisted of capital expenditures of $32.9 million (including $19.7 million to support the growth of operations and $13.2 million for maintenance expenditures) and $14.9 million used in</w:t>
      </w:r>
      <w:r>
        <w:rPr>
          <w:sz w:val="20"/>
          <w:szCs w:val="20"/>
        </w:rPr>
        <w:t xml:space="preserve"> the acquisition of two retail propane businesses (see Part IV, Note 4 of this Annual Report), partially offset by $5.9 million in net proceeds from the sale of property, plant and equipment and $2.8 million in proceeds from the sale of assets and operatio</w:t>
      </w:r>
      <w:r>
        <w:rPr>
          <w:sz w:val="20"/>
          <w:szCs w:val="20"/>
        </w:rPr>
        <w:t>ns in a non-strategic market.  </w:t>
      </w:r>
    </w:p>
    <w:p w:rsidR="00000000" w:rsidRDefault="00827839">
      <w:pPr>
        <w:pStyle w:val="a3"/>
        <w:spacing w:before="240" w:beforeAutospacing="0" w:after="0" w:afterAutospacing="0"/>
        <w:ind w:firstLine="556"/>
        <w:jc w:val="both"/>
        <w:rPr>
          <w:i/>
          <w:iCs/>
          <w:sz w:val="20"/>
          <w:szCs w:val="20"/>
        </w:rPr>
      </w:pPr>
      <w:r>
        <w:rPr>
          <w:i/>
          <w:iCs/>
          <w:sz w:val="20"/>
          <w:szCs w:val="20"/>
        </w:rPr>
        <w:t>Financing Activities.</w:t>
      </w:r>
      <w:r>
        <w:rPr>
          <w:sz w:val="20"/>
          <w:szCs w:val="20"/>
        </w:rPr>
        <w:t xml:space="preserve"> Net cash used in financing activities for fiscal 2019 of $181.0 million reflected the quarterly distribution to Common Unitholders at a rate of $0.60 per Common Unit paid in respect of the fourth quarte</w:t>
      </w:r>
      <w:r>
        <w:rPr>
          <w:sz w:val="20"/>
          <w:szCs w:val="20"/>
        </w:rPr>
        <w:t>r of fiscal 2018 and the first three quarters of fiscal 2019, net repayments of borrowings under the Revolving Credit Facility of $30.1 million, and other financing activities of $3.0 million.</w:t>
      </w:r>
    </w:p>
    <w:p w:rsidR="00000000" w:rsidRDefault="00827839">
      <w:pPr>
        <w:pStyle w:val="a3"/>
        <w:spacing w:before="240" w:beforeAutospacing="0" w:after="0" w:afterAutospacing="0"/>
        <w:ind w:firstLine="556"/>
        <w:jc w:val="both"/>
        <w:rPr>
          <w:sz w:val="20"/>
          <w:szCs w:val="20"/>
        </w:rPr>
      </w:pPr>
      <w:r>
        <w:rPr>
          <w:sz w:val="20"/>
          <w:szCs w:val="20"/>
        </w:rPr>
        <w:t>Net cash used in financing activities for fiscal 2018 of $168.9</w:t>
      </w:r>
      <w:r>
        <w:rPr>
          <w:sz w:val="20"/>
          <w:szCs w:val="20"/>
        </w:rPr>
        <w:t xml:space="preserve"> million reflected the quarterly distribution to Common Unitholders at a rate of $0.60 per Common Unit paid in respect of the fourth quarter of fiscal 2017 and the first three quarters of fiscal 2018, net repayments of borrowings under the Revolving Credit</w:t>
      </w:r>
      <w:r>
        <w:rPr>
          <w:sz w:val="20"/>
          <w:szCs w:val="20"/>
        </w:rPr>
        <w:t xml:space="preserve"> Facility of $19.0 million, and other financing activities of $2.7 million.</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35</w:t>
      </w:r>
    </w:p>
    <w:p w:rsidR="00000000" w:rsidRDefault="00827839">
      <w:pPr>
        <w:rPr>
          <w:rFonts w:eastAsia="Times New Roman"/>
        </w:rPr>
      </w:pPr>
      <w:r>
        <w:rPr>
          <w:rFonts w:eastAsia="Times New Roman"/>
        </w:rPr>
        <w:pict>
          <v:rect id="_x0000_i106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i/>
          <w:iCs/>
          <w:sz w:val="20"/>
          <w:szCs w:val="20"/>
        </w:rPr>
      </w:pPr>
      <w:r>
        <w:rPr>
          <w:b/>
          <w:bCs/>
          <w:i/>
          <w:iCs/>
          <w:sz w:val="20"/>
          <w:szCs w:val="20"/>
        </w:rPr>
        <w:t>Summary of Long-Term Debt Obligations and Revolving Credit Lines</w:t>
      </w:r>
    </w:p>
    <w:p w:rsidR="00000000" w:rsidRDefault="00827839">
      <w:pPr>
        <w:pStyle w:val="a3"/>
        <w:spacing w:before="120" w:beforeAutospacing="0" w:after="0" w:afterAutospacing="0"/>
        <w:ind w:firstLine="556"/>
        <w:jc w:val="both"/>
        <w:rPr>
          <w:sz w:val="20"/>
          <w:szCs w:val="20"/>
        </w:rPr>
      </w:pPr>
      <w:r>
        <w:rPr>
          <w:sz w:val="20"/>
          <w:szCs w:val="20"/>
        </w:rPr>
        <w:t>As of September 28, 2019, our long-term debt consisted of $525.0 million in aggregate principal amount of 5.5% senior notes due June 1, 2024, $250.0 million in aggregate principal amount of 5</w:t>
      </w:r>
      <w:r>
        <w:rPr>
          <w:sz w:val="20"/>
          <w:szCs w:val="20"/>
        </w:rPr>
        <w:t xml:space="preserve">.75% senior notes due March 1, 2025, $350.0 million in aggregate principal amount of 5.875% senior notes due March 1, 2027 and $113.5 million outstanding under our Revolving Credit Facility.  During fiscal 2019, we repaid $30.1 million under our Revolving </w:t>
      </w:r>
      <w:r>
        <w:rPr>
          <w:sz w:val="20"/>
          <w:szCs w:val="20"/>
        </w:rPr>
        <w:t>Credit Facility from operating cash flows.  See Part IV, Note 9 of this Annual Report. </w:t>
      </w:r>
    </w:p>
    <w:p w:rsidR="00000000" w:rsidRDefault="00827839">
      <w:pPr>
        <w:pStyle w:val="a3"/>
        <w:spacing w:before="240" w:beforeAutospacing="0" w:after="0" w:afterAutospacing="0"/>
        <w:ind w:firstLine="556"/>
        <w:jc w:val="both"/>
        <w:rPr>
          <w:sz w:val="20"/>
          <w:szCs w:val="20"/>
        </w:rPr>
      </w:pPr>
      <w:r>
        <w:rPr>
          <w:sz w:val="20"/>
          <w:szCs w:val="20"/>
        </w:rPr>
        <w:t>The aggregate amounts of long-term debt maturities subsequent to September 28, 2019 are as follows: fiscal 2020: $-0-; fiscal 2021: $113.5 million; fiscal 2022: $-0-; f</w:t>
      </w:r>
      <w:r>
        <w:rPr>
          <w:sz w:val="20"/>
          <w:szCs w:val="20"/>
        </w:rPr>
        <w:t>iscal 2023: $-0-; fiscal 2024: $525.0 million; and thereafter: $600.0 million.</w:t>
      </w:r>
    </w:p>
    <w:p w:rsidR="00000000" w:rsidRDefault="00827839">
      <w:pPr>
        <w:pStyle w:val="a3"/>
        <w:spacing w:before="360" w:beforeAutospacing="0" w:after="0" w:afterAutospacing="0"/>
        <w:jc w:val="both"/>
        <w:rPr>
          <w:b/>
          <w:bCs/>
          <w:i/>
          <w:iCs/>
          <w:sz w:val="20"/>
          <w:szCs w:val="20"/>
        </w:rPr>
      </w:pPr>
      <w:r>
        <w:rPr>
          <w:b/>
          <w:bCs/>
          <w:i/>
          <w:iCs/>
          <w:sz w:val="20"/>
          <w:szCs w:val="20"/>
        </w:rPr>
        <w:t>Partnership Distributions</w:t>
      </w:r>
    </w:p>
    <w:p w:rsidR="00000000" w:rsidRDefault="00827839">
      <w:pPr>
        <w:pStyle w:val="a3"/>
        <w:spacing w:before="120" w:beforeAutospacing="0" w:after="0" w:afterAutospacing="0"/>
        <w:ind w:firstLine="556"/>
        <w:jc w:val="both"/>
        <w:rPr>
          <w:sz w:val="20"/>
          <w:szCs w:val="20"/>
        </w:rPr>
      </w:pPr>
      <w:r>
        <w:rPr>
          <w:sz w:val="20"/>
          <w:szCs w:val="20"/>
        </w:rPr>
        <w:t>We are required to make distributions in an amount equal to all of our Available Cash, as defined in our Third Amended and Restated Partnership Agreeme</w:t>
      </w:r>
      <w:r>
        <w:rPr>
          <w:sz w:val="20"/>
          <w:szCs w:val="20"/>
        </w:rPr>
        <w:t>nt, as amended (the “Partnership Agreement”), no more than 45 days after the end of each fiscal quarter to holders of record on the applicable record dates.  Available Cash, as defined in the Partnership Agreement, generally means all cash on hand at the e</w:t>
      </w:r>
      <w:r>
        <w:rPr>
          <w:sz w:val="20"/>
          <w:szCs w:val="20"/>
        </w:rPr>
        <w:t>nd of the respective fiscal quarter, less the amount of cash reserves established by the Board of Supervisors in its reasonable discretion for future cash requirements. These reserves are retained for the proper conduct of our business, the payment of debt</w:t>
      </w:r>
      <w:r>
        <w:rPr>
          <w:sz w:val="20"/>
          <w:szCs w:val="20"/>
        </w:rPr>
        <w:t xml:space="preserve"> principal and interest and for distributions during the next four quarters.  The Board of Supervisors reviews the level of Available Cash on a quarterly basis based upon information provided by management.</w:t>
      </w:r>
    </w:p>
    <w:p w:rsidR="00000000" w:rsidRDefault="00827839">
      <w:pPr>
        <w:pStyle w:val="a3"/>
        <w:spacing w:before="40" w:beforeAutospacing="0" w:after="0" w:afterAutospacing="0"/>
        <w:jc w:val="both"/>
        <w:rPr>
          <w:sz w:val="20"/>
          <w:szCs w:val="20"/>
        </w:rPr>
      </w:pPr>
      <w:r>
        <w:rPr>
          <w:sz w:val="20"/>
          <w:szCs w:val="20"/>
        </w:rPr>
        <w:t> </w:t>
      </w:r>
    </w:p>
    <w:p w:rsidR="00000000" w:rsidRDefault="00827839">
      <w:pPr>
        <w:pStyle w:val="a3"/>
        <w:spacing w:before="0" w:beforeAutospacing="0" w:after="0" w:afterAutospacing="0"/>
        <w:ind w:firstLine="556"/>
        <w:jc w:val="both"/>
        <w:rPr>
          <w:sz w:val="20"/>
          <w:szCs w:val="20"/>
        </w:rPr>
      </w:pPr>
      <w:r>
        <w:rPr>
          <w:sz w:val="20"/>
          <w:szCs w:val="20"/>
        </w:rPr>
        <w:t>On October 24, 2019, we announced that our Boar</w:t>
      </w:r>
      <w:r>
        <w:rPr>
          <w:sz w:val="20"/>
          <w:szCs w:val="20"/>
        </w:rPr>
        <w:t>d of Supervisors had declared a quarterly distribution of $0.60 per Common Unit for the three months ended September 28, 2019. This quarterly distribution rate equates to an annualized rate of $2.40 per Common Unit.  The distribution was paid on November 1</w:t>
      </w:r>
      <w:r>
        <w:rPr>
          <w:sz w:val="20"/>
          <w:szCs w:val="20"/>
        </w:rPr>
        <w:t>2, 2019 to Common Unitholders of record as of November 5, 2019.  </w:t>
      </w:r>
    </w:p>
    <w:p w:rsidR="00000000" w:rsidRDefault="00827839">
      <w:pPr>
        <w:pStyle w:val="a3"/>
        <w:spacing w:before="360" w:beforeAutospacing="0" w:after="0" w:afterAutospacing="0"/>
        <w:jc w:val="both"/>
        <w:rPr>
          <w:b/>
          <w:bCs/>
          <w:i/>
          <w:iCs/>
          <w:sz w:val="20"/>
          <w:szCs w:val="20"/>
        </w:rPr>
      </w:pPr>
      <w:r>
        <w:rPr>
          <w:b/>
          <w:bCs/>
          <w:i/>
          <w:iCs/>
          <w:sz w:val="20"/>
          <w:szCs w:val="20"/>
        </w:rPr>
        <w:t>Pension Plan Assets and Obligations</w:t>
      </w:r>
    </w:p>
    <w:p w:rsidR="00000000" w:rsidRDefault="00827839">
      <w:pPr>
        <w:pStyle w:val="a3"/>
        <w:spacing w:before="120" w:beforeAutospacing="0" w:after="0" w:afterAutospacing="0"/>
        <w:ind w:firstLine="556"/>
        <w:jc w:val="both"/>
        <w:rPr>
          <w:sz w:val="20"/>
          <w:szCs w:val="20"/>
        </w:rPr>
      </w:pPr>
      <w:r>
        <w:rPr>
          <w:sz w:val="20"/>
          <w:szCs w:val="20"/>
        </w:rPr>
        <w:t>We have a noncontributory defined benefit pension plan which was originally designed to cover all of our eligible employees who met certain requirements a</w:t>
      </w:r>
      <w:r>
        <w:rPr>
          <w:sz w:val="20"/>
          <w:szCs w:val="20"/>
        </w:rPr>
        <w:t>s to age and length of service.  Effective January 1, 1998, we amended the defined benefit pension plan to provide benefits under a cash balance formula as compared to a final average pay formula which was in effect prior to January 1, 1998. Our defined be</w:t>
      </w:r>
      <w:r>
        <w:rPr>
          <w:sz w:val="20"/>
          <w:szCs w:val="20"/>
        </w:rPr>
        <w:t>nefit pension plan was frozen to new participants effective January 1, 2000 and, in furtherance of our effort to minimize future increases in our benefit obligations, effective January 1, 2003, all future service credits were eliminated.  Therefore, eligib</w:t>
      </w:r>
      <w:r>
        <w:rPr>
          <w:sz w:val="20"/>
          <w:szCs w:val="20"/>
        </w:rPr>
        <w:t xml:space="preserve">le participants will receive interest credits only toward their ultimate defined benefit under the defined benefit pension plan.  Effective June 1, 2017, we amended the defined benefit pension plan to provide eligible terminated vested participants with a </w:t>
      </w:r>
      <w:r>
        <w:rPr>
          <w:sz w:val="20"/>
          <w:szCs w:val="20"/>
        </w:rPr>
        <w:t>limited-time opportunity to elect immediate distribution of their benefits in the form of a single lump sum.  As a result of the level of plan participants that elected to receive a lump sum distribution under this plan amendment, we made additional contri</w:t>
      </w:r>
      <w:r>
        <w:rPr>
          <w:sz w:val="20"/>
          <w:szCs w:val="20"/>
        </w:rPr>
        <w:t>butions to the plan above the minimum funding requirement in fiscal 2017.  We made contribution payments to the defined benefit pension plan of $5.4 million, $4.8 million and $11.5 million in fiscal 2019, fiscal 2018 and fiscal 2017, respectively.  As of S</w:t>
      </w:r>
      <w:r>
        <w:rPr>
          <w:sz w:val="20"/>
          <w:szCs w:val="20"/>
        </w:rPr>
        <w:t>eptember 28, 2019 and September 29, 2018, the plan’s projected benefit obligation exceeded the fair value of plan assets by $34.6 million and $33.7 million, respectively.  The net liability recognized in the consolidated financial statements for the define</w:t>
      </w:r>
      <w:r>
        <w:rPr>
          <w:sz w:val="20"/>
          <w:szCs w:val="20"/>
        </w:rPr>
        <w:t>d benefit pension plan increased by $0.9 million during fiscal 2019, which was primarily attributable to the decrease in the discount rate used to measure the benefit obligation.  During fiscal 2020, we expect to contribute approximately $6.6 million to th</w:t>
      </w:r>
      <w:r>
        <w:rPr>
          <w:sz w:val="20"/>
          <w:szCs w:val="20"/>
        </w:rPr>
        <w:t>e defined benefit pension plan in the form of a minimum funding requirement.</w:t>
      </w:r>
    </w:p>
    <w:p w:rsidR="00000000" w:rsidRDefault="00827839">
      <w:pPr>
        <w:pStyle w:val="a3"/>
        <w:spacing w:before="240" w:beforeAutospacing="0" w:after="0" w:afterAutospacing="0"/>
        <w:ind w:firstLine="556"/>
        <w:jc w:val="both"/>
        <w:rPr>
          <w:sz w:val="20"/>
          <w:szCs w:val="20"/>
        </w:rPr>
      </w:pPr>
      <w:r>
        <w:rPr>
          <w:sz w:val="20"/>
          <w:szCs w:val="20"/>
        </w:rPr>
        <w:t xml:space="preserve">Our investment policies and strategies, as set forth in the Investment Management Policy and Guidelines, are monitored by a Benefits Committee comprised of five members of management.  The Benefits Committee employs a liability driven investment strategy, </w:t>
      </w:r>
      <w:r>
        <w:rPr>
          <w:sz w:val="20"/>
          <w:szCs w:val="20"/>
        </w:rPr>
        <w:t xml:space="preserve">which seeks to increase the correlation of the plan’s assets and liabilities to reduce the volatility of the plan’s funded status.  The execution of this strategy has resulted in an asset allocation that is largely comprised of fixed income securities.  A </w:t>
      </w:r>
      <w:r>
        <w:rPr>
          <w:sz w:val="20"/>
          <w:szCs w:val="20"/>
        </w:rPr>
        <w:t>liability driven investment strategy is intended to reduce investment risk and, over the long-term, generate returns on plan assets that largely fund the annual interest on the accumulated benefit obligation.  For purposes of measuring the projected benefi</w:t>
      </w:r>
      <w:r>
        <w:rPr>
          <w:sz w:val="20"/>
          <w:szCs w:val="20"/>
        </w:rPr>
        <w:t>t obligation as of September 28, 2019 and September 29, 2018, we used a discount rate of 2.875% and 4.0%, respectively, reflecting current market rates for debt obligations of a similar duration to our pension obligations.  With other assumptions held cons</w:t>
      </w:r>
      <w:r>
        <w:rPr>
          <w:sz w:val="20"/>
          <w:szCs w:val="20"/>
        </w:rPr>
        <w:t xml:space="preserve">tant, an increase or decrease of 100 basis points in the discount rate would have an immaterial impact on net pension and postretirement benefit costs. </w:t>
      </w:r>
    </w:p>
    <w:p w:rsidR="00000000" w:rsidRDefault="00827839">
      <w:pPr>
        <w:pStyle w:val="a3"/>
        <w:spacing w:before="240" w:beforeAutospacing="0" w:after="0" w:afterAutospacing="0"/>
        <w:ind w:firstLine="556"/>
        <w:jc w:val="both"/>
        <w:rPr>
          <w:sz w:val="20"/>
          <w:szCs w:val="20"/>
        </w:rPr>
      </w:pPr>
      <w:r>
        <w:rPr>
          <w:sz w:val="20"/>
          <w:szCs w:val="20"/>
        </w:rPr>
        <w:t>Effective June 1, 2017, we amended the defined benefit pension plan to provide eligible terminated vest</w:t>
      </w:r>
      <w:r>
        <w:rPr>
          <w:sz w:val="20"/>
          <w:szCs w:val="20"/>
        </w:rPr>
        <w:t xml:space="preserve">ed participants with a limited-time opportunity to elect immediate distribution of their benefits in the form of a single lump sum.  Lump sum pension settlement payments for fiscal 2017 included $16.2 million in benefits paid to those that participated in </w:t>
      </w:r>
      <w:r>
        <w:rPr>
          <w:sz w:val="20"/>
          <w:szCs w:val="20"/>
        </w:rPr>
        <w:t>this limited-time opportunity, which expired in August 2017.  During fiscal 2019 and fiscal 2018, the amount of the pension benefit obligation settled through lump sum payments did not exceed the settlement threshold (combined service and interest costs of</w:t>
      </w:r>
      <w:r>
        <w:rPr>
          <w:sz w:val="20"/>
          <w:szCs w:val="20"/>
        </w:rPr>
        <w:t xml:space="preserve"> net periodic pension cost); therefore, a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36</w:t>
      </w:r>
    </w:p>
    <w:p w:rsidR="00000000" w:rsidRDefault="00827839">
      <w:pPr>
        <w:rPr>
          <w:rFonts w:eastAsia="Times New Roman"/>
        </w:rPr>
      </w:pPr>
      <w:r>
        <w:rPr>
          <w:rFonts w:eastAsia="Times New Roman"/>
        </w:rPr>
        <w:pict>
          <v:rect id="_x0000_i106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both"/>
        <w:rPr>
          <w:sz w:val="20"/>
          <w:szCs w:val="20"/>
        </w:rPr>
      </w:pPr>
      <w:r>
        <w:rPr>
          <w:sz w:val="20"/>
          <w:szCs w:val="20"/>
        </w:rPr>
        <w:t>settlement charge was not required to be recognized in these fiscal years.  However, during fiscal 2017, lump su</w:t>
      </w:r>
      <w:r>
        <w:rPr>
          <w:sz w:val="20"/>
          <w:szCs w:val="20"/>
        </w:rPr>
        <w:t>m settlement payments of $20.8 million exceeded the interest and service cost components of the net periodic pension cost of $4.2 million.  As a result, we recorded a non-cash settlement charge of $6.1 million during the fourth quarter of fiscal 2017 in or</w:t>
      </w:r>
      <w:r>
        <w:rPr>
          <w:sz w:val="20"/>
          <w:szCs w:val="20"/>
        </w:rPr>
        <w:t>der to accelerate recognition of a portion of cumulative unrecognized losses.  These unrecognized losses were previously accumulated as a reduction to partners’ capital and were being amortized to expense as part of our net periodic pension cost.</w:t>
      </w:r>
    </w:p>
    <w:p w:rsidR="00000000" w:rsidRDefault="00827839">
      <w:pPr>
        <w:pStyle w:val="a3"/>
        <w:spacing w:before="240" w:beforeAutospacing="0" w:after="0" w:afterAutospacing="0"/>
        <w:ind w:firstLine="556"/>
        <w:jc w:val="both"/>
        <w:rPr>
          <w:sz w:val="20"/>
          <w:szCs w:val="20"/>
        </w:rPr>
      </w:pPr>
      <w:r>
        <w:rPr>
          <w:sz w:val="20"/>
          <w:szCs w:val="20"/>
        </w:rPr>
        <w:t>We also p</w:t>
      </w:r>
      <w:r>
        <w:rPr>
          <w:sz w:val="20"/>
          <w:szCs w:val="20"/>
        </w:rPr>
        <w:t>rovide postretirement health care and life insurance benefits for certain retired employees.  Partnership employees hired prior to July 1993 and who retired prior to March 1998 are eligible for postretirement health care and life insurance benefits if they</w:t>
      </w:r>
      <w:r>
        <w:rPr>
          <w:sz w:val="20"/>
          <w:szCs w:val="20"/>
        </w:rPr>
        <w:t xml:space="preserve"> reached a specified retirement age while working for the Partnership.  Effective March 31, 1998, we froze participation in its postretirement health care benefit plan, with no new retirees eligible to participate in the plan.  All active employees who wer</w:t>
      </w:r>
      <w:r>
        <w:rPr>
          <w:sz w:val="20"/>
          <w:szCs w:val="20"/>
        </w:rPr>
        <w:t>e eligible to receive health care benefits under the postretirement plan subsequent to March 1, 1998, were provided an increase to their accumulated benefits under the cash balance pension plan.  Our postretirement health care and life insurance benefit pl</w:t>
      </w:r>
      <w:r>
        <w:rPr>
          <w:sz w:val="20"/>
          <w:szCs w:val="20"/>
        </w:rPr>
        <w:t>ans are unfunded.  Effective January 1, 2006, we changed our postretirement health care plan from a self-insured program to one that is fully insured under which we pay a portion of the insurance premium on behalf of the eligible participants.  </w:t>
      </w:r>
    </w:p>
    <w:p w:rsidR="00000000" w:rsidRDefault="00827839">
      <w:pPr>
        <w:pStyle w:val="a3"/>
        <w:spacing w:before="360" w:beforeAutospacing="0" w:after="0" w:afterAutospacing="0"/>
        <w:ind w:firstLine="556"/>
        <w:jc w:val="both"/>
        <w:rPr>
          <w:b/>
          <w:bCs/>
          <w:sz w:val="20"/>
          <w:szCs w:val="20"/>
        </w:rPr>
      </w:pPr>
      <w:r>
        <w:rPr>
          <w:b/>
          <w:bCs/>
          <w:sz w:val="20"/>
          <w:szCs w:val="20"/>
        </w:rPr>
        <w:t xml:space="preserve">Long-Term </w:t>
      </w:r>
      <w:r>
        <w:rPr>
          <w:b/>
          <w:bCs/>
          <w:sz w:val="20"/>
          <w:szCs w:val="20"/>
        </w:rPr>
        <w:t>Debt Obligations and Operating Lease Obligations</w:t>
      </w:r>
    </w:p>
    <w:p w:rsidR="00000000" w:rsidRDefault="00827839">
      <w:pPr>
        <w:pStyle w:val="a3"/>
        <w:spacing w:before="120" w:beforeAutospacing="0" w:after="0" w:afterAutospacing="0"/>
        <w:jc w:val="both"/>
        <w:rPr>
          <w:b/>
          <w:bCs/>
          <w:i/>
          <w:iCs/>
          <w:sz w:val="20"/>
          <w:szCs w:val="20"/>
        </w:rPr>
      </w:pPr>
      <w:r>
        <w:rPr>
          <w:b/>
          <w:bCs/>
          <w:i/>
          <w:iCs/>
          <w:sz w:val="20"/>
          <w:szCs w:val="20"/>
        </w:rPr>
        <w:t>Contractual Obligations</w:t>
      </w:r>
    </w:p>
    <w:p w:rsidR="00000000" w:rsidRDefault="00827839">
      <w:pPr>
        <w:pStyle w:val="a3"/>
        <w:spacing w:before="120" w:beforeAutospacing="0" w:after="0" w:afterAutospacing="0"/>
        <w:ind w:firstLine="556"/>
        <w:jc w:val="both"/>
        <w:rPr>
          <w:sz w:val="20"/>
          <w:szCs w:val="20"/>
        </w:rPr>
      </w:pPr>
      <w:r>
        <w:rPr>
          <w:sz w:val="20"/>
          <w:szCs w:val="20"/>
        </w:rPr>
        <w:t>The following table summarizes payments due under our known contractual obligations as of September 28, 2019:</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14"/>
        <w:gridCol w:w="78"/>
        <w:gridCol w:w="115"/>
        <w:gridCol w:w="666"/>
        <w:gridCol w:w="73"/>
        <w:gridCol w:w="78"/>
        <w:gridCol w:w="115"/>
        <w:gridCol w:w="666"/>
        <w:gridCol w:w="73"/>
        <w:gridCol w:w="78"/>
        <w:gridCol w:w="115"/>
        <w:gridCol w:w="666"/>
        <w:gridCol w:w="73"/>
        <w:gridCol w:w="78"/>
        <w:gridCol w:w="115"/>
        <w:gridCol w:w="666"/>
        <w:gridCol w:w="73"/>
        <w:gridCol w:w="78"/>
        <w:gridCol w:w="115"/>
        <w:gridCol w:w="666"/>
        <w:gridCol w:w="73"/>
        <w:gridCol w:w="78"/>
        <w:gridCol w:w="115"/>
        <w:gridCol w:w="666"/>
        <w:gridCol w:w="73"/>
      </w:tblGrid>
      <w:tr w:rsidR="00000000">
        <w:trPr>
          <w:divId w:val="2054693954"/>
        </w:trPr>
        <w:tc>
          <w:tcPr>
            <w:tcW w:w="16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(Dollars in thousands)</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000000">
        <w:trPr>
          <w:divId w:val="2054693954"/>
        </w:trPr>
        <w:tc>
          <w:tcPr>
            <w:tcW w:w="16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54693954"/>
        </w:trPr>
        <w:tc>
          <w:tcPr>
            <w:tcW w:w="16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2025 and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54693954"/>
        </w:trPr>
        <w:tc>
          <w:tcPr>
            <w:tcW w:w="16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thereafter</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54693954"/>
        </w:trPr>
        <w:tc>
          <w:tcPr>
            <w:tcW w:w="163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Long-term debt obligations</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113,500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4693954"/>
        </w:trPr>
        <w:tc>
          <w:tcPr>
            <w:tcW w:w="16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payments</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71,074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69,078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63,813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63,813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63,813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58,594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4693954"/>
        </w:trPr>
        <w:tc>
          <w:tcPr>
            <w:tcW w:w="163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Operating lease obligations (a)</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26,808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23,572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25,128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4693954"/>
        </w:trPr>
        <w:tc>
          <w:tcPr>
            <w:tcW w:w="16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Self-insurance obligations (b)</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15,744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11,303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3,199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16,790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4693954"/>
        </w:trPr>
        <w:tc>
          <w:tcPr>
            <w:tcW w:w="163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Pension contributions (c)</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8,200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8,800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4693954"/>
        </w:trPr>
        <w:tc>
          <w:tcPr>
            <w:tcW w:w="16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contractual obligations (d)</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6,335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7,474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4,997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1,061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12,341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4693954"/>
        </w:trPr>
        <w:tc>
          <w:tcPr>
            <w:tcW w:w="163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Total</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126,551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231,831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109,356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96,984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612,453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739,853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47891666"/>
        </w:trPr>
        <w:tc>
          <w:tcPr>
            <w:tcW w:w="227" w:type="pct"/>
            <w:noWrap/>
            <w:hideMark/>
          </w:tcPr>
          <w:p w:rsidR="00000000" w:rsidRDefault="00827839">
            <w:pPr>
              <w:pStyle w:val="a3"/>
              <w:spacing w:before="0" w:beforeAutospacing="0" w:after="0" w:afterAutospacing="0"/>
              <w:jc w:val="both"/>
              <w:rPr>
                <w:sz w:val="20"/>
                <w:szCs w:val="20"/>
              </w:rPr>
            </w:pPr>
            <w:r>
              <w:rPr>
                <w:sz w:val="20"/>
                <w:szCs w:val="20"/>
              </w:rPr>
              <w:t>(a)</w:t>
            </w:r>
          </w:p>
        </w:tc>
        <w:tc>
          <w:tcPr>
            <w:tcW w:w="0" w:type="auto"/>
            <w:hideMark/>
          </w:tcPr>
          <w:p w:rsidR="00000000" w:rsidRDefault="00827839">
            <w:pPr>
              <w:pStyle w:val="a3"/>
              <w:spacing w:before="0" w:beforeAutospacing="0" w:after="0" w:afterAutospacing="0"/>
              <w:jc w:val="both"/>
              <w:rPr>
                <w:sz w:val="20"/>
                <w:szCs w:val="20"/>
              </w:rPr>
            </w:pPr>
            <w:r>
              <w:rPr>
                <w:sz w:val="20"/>
                <w:szCs w:val="20"/>
              </w:rPr>
              <w:t>Payments exclude costs associated with insurance, taxes an</w:t>
            </w:r>
            <w:r>
              <w:rPr>
                <w:sz w:val="20"/>
                <w:szCs w:val="20"/>
              </w:rPr>
              <w:t>d maintenance, which are not material to the operating lease obligations.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(b)</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timing of when payments are due for our self-insurance obligations is based on estimates that may differ from when actual payments are made.  In addition, the payments do not reflect amounts to be recovered from our insurance providers, which amount to</w:t>
            </w:r>
            <w:r>
              <w:rPr>
                <w:sz w:val="20"/>
                <w:szCs w:val="20"/>
              </w:rPr>
              <w:t xml:space="preserve"> $4.0 million, $3.5 million, $3.1 million, $1.8 million, $0.9 million and $4.8 million for each of the next five fiscal years and thereafter, respectively, and are included in other assets on the consolidated balance sheet.</w:t>
            </w:r>
          </w:p>
        </w:tc>
      </w:tr>
    </w:tbl>
    <w:p w:rsidR="00000000" w:rsidRDefault="00827839">
      <w:pPr>
        <w:divId w:val="164785765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4785765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(c)</w:t>
            </w:r>
          </w:p>
        </w:tc>
        <w:tc>
          <w:tcPr>
            <w:tcW w:w="0" w:type="auto"/>
            <w:hideMark/>
          </w:tcPr>
          <w:p w:rsidR="00000000" w:rsidRDefault="00827839">
            <w:pPr>
              <w:pStyle w:val="a3"/>
              <w:spacing w:before="120" w:beforeAutospacing="0" w:after="0" w:afterAutospacing="0"/>
              <w:jc w:val="both"/>
              <w:rPr>
                <w:sz w:val="20"/>
                <w:szCs w:val="20"/>
              </w:rPr>
            </w:pPr>
            <w:r>
              <w:rPr>
                <w:sz w:val="20"/>
                <w:szCs w:val="20"/>
              </w:rPr>
              <w:t>Amounts represent estimated minimum funding requirements for our pension plan.</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(d)</w:t>
            </w:r>
          </w:p>
        </w:tc>
        <w:tc>
          <w:tcPr>
            <w:tcW w:w="0" w:type="auto"/>
            <w:hideMark/>
          </w:tcPr>
          <w:p w:rsidR="00000000" w:rsidRDefault="00827839">
            <w:pPr>
              <w:pStyle w:val="a3"/>
              <w:spacing w:before="120" w:beforeAutospacing="0" w:after="0" w:afterAutospacing="0"/>
              <w:jc w:val="both"/>
              <w:rPr>
                <w:sz w:val="20"/>
                <w:szCs w:val="20"/>
              </w:rPr>
            </w:pPr>
            <w:r>
              <w:rPr>
                <w:sz w:val="20"/>
                <w:szCs w:val="20"/>
              </w:rPr>
              <w:t>These amounts are included in our consolidated balance sheet and primarily include payments for postretirement and long-term incentive benefits.</w:t>
            </w:r>
          </w:p>
        </w:tc>
      </w:tr>
    </w:tbl>
    <w:p w:rsidR="00000000" w:rsidRDefault="00827839">
      <w:pPr>
        <w:pStyle w:val="a3"/>
        <w:spacing w:before="240" w:beforeAutospacing="0" w:after="0" w:afterAutospacing="0"/>
        <w:ind w:firstLine="556"/>
        <w:jc w:val="both"/>
        <w:rPr>
          <w:sz w:val="20"/>
          <w:szCs w:val="20"/>
        </w:rPr>
      </w:pPr>
      <w:r>
        <w:rPr>
          <w:sz w:val="20"/>
          <w:szCs w:val="20"/>
        </w:rPr>
        <w:t>Additionally, we have sta</w:t>
      </w:r>
      <w:r>
        <w:rPr>
          <w:sz w:val="20"/>
          <w:szCs w:val="20"/>
        </w:rPr>
        <w:t>ndby letters of credit in the aggregate amount of $65.8 million, in support of retention levels under our casualty insurance programs and certain lease obligations, which expire periodically through November 1, 2020.</w:t>
      </w:r>
    </w:p>
    <w:p w:rsidR="00000000" w:rsidRDefault="00827839">
      <w:pPr>
        <w:pStyle w:val="a3"/>
        <w:spacing w:before="360" w:beforeAutospacing="0" w:after="0" w:afterAutospacing="0"/>
        <w:jc w:val="both"/>
        <w:rPr>
          <w:i/>
          <w:iCs/>
          <w:sz w:val="20"/>
          <w:szCs w:val="20"/>
        </w:rPr>
      </w:pPr>
      <w:r>
        <w:rPr>
          <w:i/>
          <w:iCs/>
          <w:sz w:val="20"/>
          <w:szCs w:val="20"/>
          <w:u w:val="single"/>
        </w:rPr>
        <w:t>Operating Leases</w:t>
      </w:r>
    </w:p>
    <w:p w:rsidR="00000000" w:rsidRDefault="00827839">
      <w:pPr>
        <w:pStyle w:val="a3"/>
        <w:spacing w:before="120" w:beforeAutospacing="0" w:after="0" w:afterAutospacing="0"/>
        <w:ind w:firstLine="556"/>
        <w:jc w:val="both"/>
        <w:rPr>
          <w:spacing w:val="-2"/>
          <w:sz w:val="20"/>
          <w:szCs w:val="20"/>
        </w:rPr>
      </w:pPr>
      <w:r>
        <w:rPr>
          <w:spacing w:val="-2"/>
          <w:sz w:val="20"/>
          <w:szCs w:val="20"/>
        </w:rPr>
        <w:t>We lease certain prope</w:t>
      </w:r>
      <w:r>
        <w:rPr>
          <w:spacing w:val="-2"/>
          <w:sz w:val="20"/>
          <w:szCs w:val="20"/>
        </w:rPr>
        <w:t>rty, plant and equipment for various periods under noncancelable operating leases, including 50% of our vehicle fleet, approximately 26% of our customer service centers and portions of our information systems equipment.  Rental expense under operating leas</w:t>
      </w:r>
      <w:r>
        <w:rPr>
          <w:spacing w:val="-2"/>
          <w:sz w:val="20"/>
          <w:szCs w:val="20"/>
        </w:rPr>
        <w:t>es was $31.3 million, $30.1 million and $30.6 million for fiscal 2019, 2018 and 2017, respectively.  Future minimum rental commitments under noncancelable operating lease agreements as of September 28, 2019 are presented in the table above.</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37</w:t>
      </w:r>
    </w:p>
    <w:p w:rsidR="00000000" w:rsidRDefault="00827839">
      <w:pPr>
        <w:rPr>
          <w:rFonts w:eastAsia="Times New Roman"/>
        </w:rPr>
      </w:pPr>
      <w:r>
        <w:rPr>
          <w:rFonts w:eastAsia="Times New Roman"/>
        </w:rPr>
        <w:pict>
          <v:rect id="_x0000_i106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i/>
          <w:iCs/>
          <w:sz w:val="20"/>
          <w:szCs w:val="20"/>
        </w:rPr>
      </w:pPr>
      <w:r>
        <w:rPr>
          <w:b/>
          <w:bCs/>
          <w:i/>
          <w:iCs/>
          <w:sz w:val="20"/>
          <w:szCs w:val="20"/>
        </w:rPr>
        <w:t>Off-Balance Sheet Arrangements</w:t>
      </w:r>
    </w:p>
    <w:p w:rsidR="00000000" w:rsidRDefault="00827839">
      <w:pPr>
        <w:pStyle w:val="a3"/>
        <w:spacing w:before="120" w:beforeAutospacing="0" w:after="0" w:afterAutospacing="0"/>
        <w:jc w:val="both"/>
        <w:rPr>
          <w:i/>
          <w:iCs/>
          <w:sz w:val="20"/>
          <w:szCs w:val="20"/>
        </w:rPr>
      </w:pPr>
      <w:r>
        <w:rPr>
          <w:i/>
          <w:iCs/>
          <w:sz w:val="20"/>
          <w:szCs w:val="20"/>
          <w:u w:val="single"/>
        </w:rPr>
        <w:t>Guarantees</w:t>
      </w:r>
    </w:p>
    <w:p w:rsidR="00000000" w:rsidRDefault="00827839">
      <w:pPr>
        <w:pStyle w:val="a3"/>
        <w:spacing w:before="120" w:beforeAutospacing="0" w:after="0" w:afterAutospacing="0"/>
        <w:ind w:firstLine="556"/>
        <w:jc w:val="both"/>
        <w:rPr>
          <w:sz w:val="20"/>
          <w:szCs w:val="20"/>
        </w:rPr>
      </w:pPr>
      <w:r>
        <w:rPr>
          <w:sz w:val="20"/>
          <w:szCs w:val="20"/>
        </w:rPr>
        <w:t>Certain of our operating leases, primarily those for transportation equipment with remaining lease periods scheduled t</w:t>
      </w:r>
      <w:r>
        <w:rPr>
          <w:sz w:val="20"/>
          <w:szCs w:val="20"/>
        </w:rPr>
        <w:t>o expire periodically through fiscal 2028, contain residual value guarantee provisions.  Under those provisions, we guarantee that the fair value of the equipment will equal or exceed the guaranteed amount upon completion of the lease period, or we will pa</w:t>
      </w:r>
      <w:r>
        <w:rPr>
          <w:sz w:val="20"/>
          <w:szCs w:val="20"/>
        </w:rPr>
        <w:t>y the lessor the difference between fair value and the guaranteed amount.  Although the fair value of equipment at the end of its lease term has historically exceeded the guaranteed amounts, the maximum potential amount of aggregate future payments we coul</w:t>
      </w:r>
      <w:r>
        <w:rPr>
          <w:sz w:val="20"/>
          <w:szCs w:val="20"/>
        </w:rPr>
        <w:t>d be required to make under these leasing arrangements, assuming the equipment is deemed worthless at the end of the lease term, was approximately $18.6 million.  The fair value of residual value guarantees for outstanding operating leases was de minimis a</w:t>
      </w:r>
      <w:r>
        <w:rPr>
          <w:sz w:val="20"/>
          <w:szCs w:val="20"/>
        </w:rPr>
        <w:t>s of September 28, 2019 and September 29, 2018.</w:t>
      </w:r>
    </w:p>
    <w:p w:rsidR="00000000" w:rsidRDefault="00827839">
      <w:pPr>
        <w:pStyle w:val="a3"/>
        <w:spacing w:before="360" w:beforeAutospacing="0" w:after="0" w:afterAutospacing="0"/>
        <w:jc w:val="both"/>
        <w:rPr>
          <w:b/>
          <w:bCs/>
          <w:sz w:val="20"/>
          <w:szCs w:val="20"/>
        </w:rPr>
      </w:pPr>
      <w:r>
        <w:rPr>
          <w:b/>
          <w:bCs/>
          <w:sz w:val="20"/>
          <w:szCs w:val="20"/>
        </w:rPr>
        <w:t>Recently Issued/Adopted Accounting Pronouncements</w:t>
      </w:r>
    </w:p>
    <w:p w:rsidR="00000000" w:rsidRDefault="00827839">
      <w:pPr>
        <w:pStyle w:val="a3"/>
        <w:spacing w:before="120" w:beforeAutospacing="0" w:after="0" w:afterAutospacing="0"/>
        <w:ind w:firstLine="556"/>
        <w:jc w:val="both"/>
        <w:rPr>
          <w:sz w:val="20"/>
          <w:szCs w:val="20"/>
        </w:rPr>
      </w:pPr>
      <w:r>
        <w:rPr>
          <w:sz w:val="20"/>
          <w:szCs w:val="20"/>
        </w:rPr>
        <w:t>See Part IV, Note 2 of this Annual Report.</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250045518"/>
        </w:trPr>
        <w:tc>
          <w:tcPr>
            <w:tcW w:w="513" w:type="pct"/>
            <w:noWrap/>
            <w:hideMark/>
          </w:tcPr>
          <w:p w:rsidR="00000000" w:rsidRDefault="00827839">
            <w:pPr>
              <w:pStyle w:val="a3"/>
              <w:spacing w:before="360" w:beforeAutospacing="0" w:after="0" w:afterAutospacing="0"/>
              <w:jc w:val="both"/>
              <w:rPr>
                <w:b/>
                <w:bCs/>
                <w:sz w:val="20"/>
                <w:szCs w:val="20"/>
              </w:rPr>
            </w:pPr>
            <w:r>
              <w:rPr>
                <w:b/>
                <w:bCs/>
                <w:sz w:val="20"/>
                <w:szCs w:val="20"/>
              </w:rPr>
              <w:t>ITEM 7A.</w:t>
            </w:r>
          </w:p>
        </w:tc>
        <w:tc>
          <w:tcPr>
            <w:tcW w:w="0" w:type="auto"/>
            <w:hideMark/>
          </w:tcPr>
          <w:p w:rsidR="00000000" w:rsidRDefault="00827839">
            <w:pPr>
              <w:pStyle w:val="a3"/>
              <w:spacing w:before="360" w:beforeAutospacing="0" w:after="0" w:afterAutospacing="0"/>
              <w:jc w:val="both"/>
              <w:rPr>
                <w:b/>
                <w:bCs/>
                <w:sz w:val="20"/>
                <w:szCs w:val="20"/>
              </w:rPr>
            </w:pPr>
            <w:r>
              <w:rPr>
                <w:b/>
                <w:bCs/>
                <w:sz w:val="20"/>
                <w:szCs w:val="20"/>
              </w:rPr>
              <w:t>QUANTITATIVE AND QUALITATIVE DISCLOSURES ABOUT MARKET RISK</w:t>
            </w:r>
          </w:p>
        </w:tc>
      </w:tr>
    </w:tbl>
    <w:p w:rsidR="00000000" w:rsidRDefault="00827839">
      <w:pPr>
        <w:pStyle w:val="a3"/>
        <w:spacing w:before="120" w:beforeAutospacing="0" w:after="0" w:afterAutospacing="0"/>
        <w:jc w:val="both"/>
        <w:rPr>
          <w:b/>
          <w:bCs/>
          <w:sz w:val="20"/>
          <w:szCs w:val="20"/>
        </w:rPr>
      </w:pPr>
      <w:r>
        <w:rPr>
          <w:b/>
          <w:bCs/>
          <w:sz w:val="20"/>
          <w:szCs w:val="20"/>
        </w:rPr>
        <w:t>Commodity Price Risk</w:t>
      </w:r>
    </w:p>
    <w:p w:rsidR="00000000" w:rsidRDefault="00827839">
      <w:pPr>
        <w:pStyle w:val="a3"/>
        <w:spacing w:before="120" w:beforeAutospacing="0" w:after="0" w:afterAutospacing="0"/>
        <w:ind w:firstLine="556"/>
        <w:jc w:val="both"/>
        <w:rPr>
          <w:sz w:val="20"/>
          <w:szCs w:val="20"/>
        </w:rPr>
      </w:pPr>
      <w:r>
        <w:rPr>
          <w:sz w:val="20"/>
          <w:szCs w:val="20"/>
        </w:rPr>
        <w:t>We enter into product sup</w:t>
      </w:r>
      <w:r>
        <w:rPr>
          <w:sz w:val="20"/>
          <w:szCs w:val="20"/>
        </w:rPr>
        <w:t>ply contracts that are generally one-year agreements subject to annual renewal, and also purchase product on the open market.  Our propane supply contracts typically provide for pricing based upon index formulas using the posted prices established at major</w:t>
      </w:r>
      <w:r>
        <w:rPr>
          <w:sz w:val="20"/>
          <w:szCs w:val="20"/>
        </w:rPr>
        <w:t xml:space="preserve"> supply points such as Mont Belvieu, Texas, or Conway, Kansas (plus transportation costs) at the time of delivery. In addition, to supplement our annual purchase requirements, we may utilize forward fixed price purchase contracts to acquire a portion of th</w:t>
      </w:r>
      <w:r>
        <w:rPr>
          <w:sz w:val="20"/>
          <w:szCs w:val="20"/>
        </w:rPr>
        <w:t>e propane that we resell to our customers, which allows us to manage our exposure to unfavorable changes in commodity prices and to ensure adequate physical supply. The percentage of contract purchases, and the amount of supply contracted for under forward</w:t>
      </w:r>
      <w:r>
        <w:rPr>
          <w:sz w:val="20"/>
          <w:szCs w:val="20"/>
        </w:rPr>
        <w:t xml:space="preserve"> contracts at fixed prices, will vary from year to year based on market conditions.  In certain instances, and when market conditions are favorable, we are able to purchase product under our supply arrangements at a discount to the market.</w:t>
      </w:r>
    </w:p>
    <w:p w:rsidR="00000000" w:rsidRDefault="00827839">
      <w:pPr>
        <w:pStyle w:val="a3"/>
        <w:spacing w:before="240" w:beforeAutospacing="0" w:after="0" w:afterAutospacing="0"/>
        <w:ind w:firstLine="556"/>
        <w:jc w:val="both"/>
        <w:rPr>
          <w:spacing w:val="-2"/>
          <w:sz w:val="20"/>
          <w:szCs w:val="20"/>
        </w:rPr>
      </w:pPr>
      <w:r>
        <w:rPr>
          <w:spacing w:val="-2"/>
          <w:sz w:val="20"/>
          <w:szCs w:val="20"/>
        </w:rPr>
        <w:t>Product cost cha</w:t>
      </w:r>
      <w:r>
        <w:rPr>
          <w:spacing w:val="-2"/>
          <w:sz w:val="20"/>
          <w:szCs w:val="20"/>
        </w:rPr>
        <w:t xml:space="preserve">nges can occur rapidly over a short period of time and can impact profitability. We attempt to reduce commodity price risk by pricing product on a short-term basis. The level of priced, physical product maintained in storage facilities and at our customer </w:t>
      </w:r>
      <w:r>
        <w:rPr>
          <w:spacing w:val="-2"/>
          <w:sz w:val="20"/>
          <w:szCs w:val="20"/>
        </w:rPr>
        <w:t>service centers for immediate sale to our customers will vary depending on several factors, including, but not limited to, price, supply and demand dynamics for a given time of the year.  Typically, our on hand priced position does not exceed more than fou</w:t>
      </w:r>
      <w:r>
        <w:rPr>
          <w:spacing w:val="-2"/>
          <w:sz w:val="20"/>
          <w:szCs w:val="20"/>
        </w:rPr>
        <w:t>r to eight weeks of our supply needs, depending on the time of the year.  In the course of normal operations, we routinely enter into contracts such as forward priced physical contracts for the purchase or sale of propane and fuel oil that, under accountin</w:t>
      </w:r>
      <w:r>
        <w:rPr>
          <w:spacing w:val="-2"/>
          <w:sz w:val="20"/>
          <w:szCs w:val="20"/>
        </w:rPr>
        <w:t>g rules for derivative instruments and hedging activities, qualify for and are designated as normal purchase or normal sale contracts. Such contracts are exempted from fair value accounting and are accounted for at the time product is purchased or sold und</w:t>
      </w:r>
      <w:r>
        <w:rPr>
          <w:spacing w:val="-2"/>
          <w:sz w:val="20"/>
          <w:szCs w:val="20"/>
        </w:rPr>
        <w:t>er the related contract.</w:t>
      </w:r>
    </w:p>
    <w:p w:rsidR="00000000" w:rsidRDefault="00827839">
      <w:pPr>
        <w:pStyle w:val="a3"/>
        <w:spacing w:before="240" w:beforeAutospacing="0" w:after="0" w:afterAutospacing="0"/>
        <w:ind w:firstLine="556"/>
        <w:jc w:val="both"/>
        <w:rPr>
          <w:sz w:val="20"/>
          <w:szCs w:val="20"/>
        </w:rPr>
      </w:pPr>
      <w:r>
        <w:rPr>
          <w:sz w:val="20"/>
          <w:szCs w:val="20"/>
        </w:rPr>
        <w:t>Under our hedging and risk management strategies, we enter into a combination of exchange-traded futures and options contracts and, in certain instances, over-the-counter options and swap contracts (collectively, “derivative instruments”) to manage the pri</w:t>
      </w:r>
      <w:r>
        <w:rPr>
          <w:sz w:val="20"/>
          <w:szCs w:val="20"/>
        </w:rPr>
        <w:t>ce risk associated with physical product and with future purchases of the commodities used in our operations, principally propane and fuel oil, as well as to help ensure the availability of product during periods of high demand.  In addition, we sell propa</w:t>
      </w:r>
      <w:r>
        <w:rPr>
          <w:sz w:val="20"/>
          <w:szCs w:val="20"/>
        </w:rPr>
        <w:t>ne and fuel oil to customers at fixed prices, and enter into derivative instruments to hedge a portion of its exposure to fluctuations in commodity prices as a result of selling the fixed price contracts. We do not use derivative instruments for speculativ</w:t>
      </w:r>
      <w:r>
        <w:rPr>
          <w:sz w:val="20"/>
          <w:szCs w:val="20"/>
        </w:rPr>
        <w:t>e or trading purposes.  Futures and swap contracts require that we sell or acquire propane or fuel oil at a fixed price for delivery at fixed future dates.  An option contract allows, but does not require, its holder to buy or sell propane or fuel oil at a</w:t>
      </w:r>
      <w:r>
        <w:rPr>
          <w:sz w:val="20"/>
          <w:szCs w:val="20"/>
        </w:rPr>
        <w:t xml:space="preserve"> specified price during a specified time period. However, the writer of an option contract must fulfill the obligation of the option contract, should the holder choose to exercise the option.  At expiration, the contracts are settled by the delivery of the</w:t>
      </w:r>
      <w:r>
        <w:rPr>
          <w:sz w:val="20"/>
          <w:szCs w:val="20"/>
        </w:rPr>
        <w:t xml:space="preserve"> product to the respective party or are settled by the payment of a net amount equal to the difference between the then market price and the fixed contract price or option exercise price. To the extent that we utilize derivative instruments to manage expos</w:t>
      </w:r>
      <w:r>
        <w:rPr>
          <w:sz w:val="20"/>
          <w:szCs w:val="20"/>
        </w:rPr>
        <w:t>ure to commodity price risk and commodity prices move adversely in relation to the contracts, we could suffer losses on those derivative instruments when settled.  Conversely, if prices move favorably, we could realize gains. Under our hedging and risk man</w:t>
      </w:r>
      <w:r>
        <w:rPr>
          <w:sz w:val="20"/>
          <w:szCs w:val="20"/>
        </w:rPr>
        <w:t>agement strategy, realized gains or losses on derivative instruments will typically offset losses or gains on the physical inventory once the product is sold to customers at market prices, or delivered to customers as it pertains to fixed price contracts.</w:t>
      </w:r>
    </w:p>
    <w:p w:rsidR="00000000" w:rsidRDefault="00827839">
      <w:pPr>
        <w:pStyle w:val="a3"/>
        <w:spacing w:before="240" w:beforeAutospacing="0" w:after="0" w:afterAutospacing="0"/>
        <w:ind w:firstLine="556"/>
        <w:jc w:val="both"/>
        <w:rPr>
          <w:sz w:val="20"/>
          <w:szCs w:val="20"/>
        </w:rPr>
      </w:pPr>
      <w:r>
        <w:rPr>
          <w:sz w:val="20"/>
          <w:szCs w:val="20"/>
        </w:rPr>
        <w:t>Futures are traded with brokers of the NYMEX and require daily cash settlements in margin accounts.  Forward contracts are generally settled at the expiration of the contract term by physical delivery, and swap and options contracts are generally settled a</w:t>
      </w:r>
      <w:r>
        <w:rPr>
          <w:sz w:val="20"/>
          <w:szCs w:val="20"/>
        </w:rPr>
        <w:t>t expiration through a net settlement mechanism.  Market risks associated with our derivative instruments are monitored daily for compliance with our Hedging and Risk Management Policy which includes volume limits for open positions.  Open inventory positi</w:t>
      </w:r>
      <w:r>
        <w:rPr>
          <w:sz w:val="20"/>
          <w:szCs w:val="20"/>
        </w:rPr>
        <w:t>ons are reviewed and managed daily as to exposures to changing market prices.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38</w:t>
      </w:r>
    </w:p>
    <w:p w:rsidR="00000000" w:rsidRDefault="00827839">
      <w:pPr>
        <w:rPr>
          <w:rFonts w:eastAsia="Times New Roman"/>
        </w:rPr>
      </w:pPr>
      <w:r>
        <w:rPr>
          <w:rFonts w:eastAsia="Times New Roman"/>
        </w:rPr>
        <w:pict>
          <v:rect id="_x0000_i106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sz w:val="20"/>
          <w:szCs w:val="20"/>
        </w:rPr>
      </w:pPr>
      <w:r>
        <w:rPr>
          <w:b/>
          <w:bCs/>
          <w:sz w:val="20"/>
          <w:szCs w:val="20"/>
        </w:rPr>
        <w:t>Credit Risk</w:t>
      </w:r>
    </w:p>
    <w:p w:rsidR="00000000" w:rsidRDefault="00827839">
      <w:pPr>
        <w:pStyle w:val="a3"/>
        <w:spacing w:before="120" w:beforeAutospacing="0" w:after="0" w:afterAutospacing="0"/>
        <w:ind w:firstLine="556"/>
        <w:jc w:val="both"/>
        <w:rPr>
          <w:sz w:val="20"/>
          <w:szCs w:val="20"/>
        </w:rPr>
      </w:pPr>
      <w:r>
        <w:rPr>
          <w:sz w:val="20"/>
          <w:szCs w:val="20"/>
        </w:rPr>
        <w:t xml:space="preserve">Exchange-traded futures and options contracts are guaranteed by </w:t>
      </w:r>
      <w:r>
        <w:rPr>
          <w:sz w:val="20"/>
          <w:szCs w:val="20"/>
        </w:rPr>
        <w:t>the NYMEX and, as a result, have minimal credit risk.  We are subject to credit risk with over-the-counter forward, swap and options contracts to the extent the counterparties do not perform.  We evaluate the financial condition of each counterparty with w</w:t>
      </w:r>
      <w:r>
        <w:rPr>
          <w:sz w:val="20"/>
          <w:szCs w:val="20"/>
        </w:rPr>
        <w:t>hich we conduct business and establish credit limits to reduce exposure to the risk of non-performance by our counterparties.</w:t>
      </w:r>
    </w:p>
    <w:p w:rsidR="00000000" w:rsidRDefault="00827839">
      <w:pPr>
        <w:pStyle w:val="a3"/>
        <w:spacing w:before="360" w:beforeAutospacing="0" w:after="0" w:afterAutospacing="0"/>
        <w:jc w:val="both"/>
        <w:rPr>
          <w:b/>
          <w:bCs/>
          <w:sz w:val="20"/>
          <w:szCs w:val="20"/>
        </w:rPr>
      </w:pPr>
      <w:r>
        <w:rPr>
          <w:b/>
          <w:bCs/>
          <w:sz w:val="20"/>
          <w:szCs w:val="20"/>
        </w:rPr>
        <w:t>Interest Rate Risk</w:t>
      </w:r>
    </w:p>
    <w:p w:rsidR="00000000" w:rsidRDefault="00827839">
      <w:pPr>
        <w:pStyle w:val="a3"/>
        <w:spacing w:before="120" w:beforeAutospacing="0" w:after="0" w:afterAutospacing="0"/>
        <w:ind w:firstLine="556"/>
        <w:jc w:val="both"/>
        <w:rPr>
          <w:sz w:val="20"/>
          <w:szCs w:val="20"/>
        </w:rPr>
      </w:pPr>
      <w:r>
        <w:rPr>
          <w:sz w:val="20"/>
          <w:szCs w:val="20"/>
        </w:rPr>
        <w:t>A portion of our borrowings bear interest at prevailing interest rates based upon, at the Operating Partnership</w:t>
      </w:r>
      <w:r>
        <w:rPr>
          <w:sz w:val="20"/>
          <w:szCs w:val="20"/>
        </w:rPr>
        <w:t>’s option, LIBOR, plus an applicable margin or the base rate, defined as the higher of the Federal Funds Rate plus ½ of 1% or the agent bank’s prime rate, or LIBOR plus 1%, plus the applicable margin.  The applicable margin is dependent on the level of our</w:t>
      </w:r>
      <w:r>
        <w:rPr>
          <w:sz w:val="20"/>
          <w:szCs w:val="20"/>
        </w:rPr>
        <w:t xml:space="preserve"> total consolidated leverage (the total ratio of debt to consolidated EBITDA).  Therefore, we are subject to interest rate risk on the variable component of the interest rate.  From time to time, we enter into interest rate swap agreements to manage a part</w:t>
      </w:r>
      <w:r>
        <w:rPr>
          <w:sz w:val="20"/>
          <w:szCs w:val="20"/>
        </w:rPr>
        <w:t xml:space="preserve"> of our variable interest rate risk.  The interest rate swaps have been designated as a cash flow hedge.  Changes in the fair value of the interest rate swaps are recognized in other comprehensive income (“OCI”) until the hedged item is recognized in earni</w:t>
      </w:r>
      <w:r>
        <w:rPr>
          <w:sz w:val="20"/>
          <w:szCs w:val="20"/>
        </w:rPr>
        <w:t>ngs.  At September 28, 2019, we were not party to any interest rate swap agreement.</w:t>
      </w:r>
    </w:p>
    <w:p w:rsidR="00000000" w:rsidRDefault="00827839">
      <w:pPr>
        <w:pStyle w:val="a3"/>
        <w:spacing w:before="360" w:beforeAutospacing="0" w:after="0" w:afterAutospacing="0"/>
        <w:jc w:val="both"/>
        <w:rPr>
          <w:b/>
          <w:bCs/>
          <w:sz w:val="20"/>
          <w:szCs w:val="20"/>
        </w:rPr>
      </w:pPr>
      <w:r>
        <w:rPr>
          <w:b/>
          <w:bCs/>
          <w:sz w:val="20"/>
          <w:szCs w:val="20"/>
        </w:rPr>
        <w:t>Derivative Instruments and Hedging Activities</w:t>
      </w:r>
    </w:p>
    <w:p w:rsidR="00000000" w:rsidRDefault="00827839">
      <w:pPr>
        <w:pStyle w:val="a3"/>
        <w:spacing w:before="120" w:beforeAutospacing="0" w:after="0" w:afterAutospacing="0"/>
        <w:ind w:firstLine="556"/>
        <w:jc w:val="both"/>
        <w:rPr>
          <w:sz w:val="20"/>
          <w:szCs w:val="20"/>
        </w:rPr>
      </w:pPr>
      <w:r>
        <w:rPr>
          <w:sz w:val="20"/>
          <w:szCs w:val="20"/>
        </w:rPr>
        <w:t>All of our derivative instruments are reported on the balance sheet at their fair values.  On the date that derivative instrum</w:t>
      </w:r>
      <w:r>
        <w:rPr>
          <w:sz w:val="20"/>
          <w:szCs w:val="20"/>
        </w:rPr>
        <w:t>ents are entered into, we make a determination as to whether the derivative instrument qualifies for designation as a hedge.  Changes in the fair value of derivative instruments are recorded each period in current period earnings or OCI, depending on wheth</w:t>
      </w:r>
      <w:r>
        <w:rPr>
          <w:sz w:val="20"/>
          <w:szCs w:val="20"/>
        </w:rPr>
        <w:t>er a derivative instrument is designated as a hedge and, if so, the type of hedge.  For derivative instruments designated as cash flow hedges, we formally assess, both at the hedge contract’s inception and on an ongoing basis, whether the hedge contract is</w:t>
      </w:r>
      <w:r>
        <w:rPr>
          <w:sz w:val="20"/>
          <w:szCs w:val="20"/>
        </w:rPr>
        <w:t xml:space="preserve"> highly effective in offsetting changes in cash flows of hedged items.  Changes in the fair value of derivative instruments designated as cash flow hedges are reported in OCI to the extent effective and reclassified into earnings during the same period in </w:t>
      </w:r>
      <w:r>
        <w:rPr>
          <w:sz w:val="20"/>
          <w:szCs w:val="20"/>
        </w:rPr>
        <w:t>which the hedged item affects earnings.  The mark-to-market gains or losses on ineffective portions of cash flow hedges are immediately recognized in earnings.  Changes in the fair value of derivative instruments that are not designated as cash flow hedges</w:t>
      </w:r>
      <w:r>
        <w:rPr>
          <w:sz w:val="20"/>
          <w:szCs w:val="20"/>
        </w:rPr>
        <w:t>, and that do not meet the normal purchase and normal sale exemption, are recorded in earnings as they occur.  Cash flows associated with derivative instruments are reported as operating activities within the consolidated statement of cash flows.</w:t>
      </w:r>
    </w:p>
    <w:p w:rsidR="00000000" w:rsidRDefault="00827839">
      <w:pPr>
        <w:pStyle w:val="a3"/>
        <w:spacing w:before="360" w:beforeAutospacing="0" w:after="0" w:afterAutospacing="0"/>
        <w:jc w:val="both"/>
        <w:rPr>
          <w:b/>
          <w:bCs/>
          <w:sz w:val="20"/>
          <w:szCs w:val="20"/>
        </w:rPr>
      </w:pPr>
      <w:r>
        <w:rPr>
          <w:b/>
          <w:bCs/>
          <w:sz w:val="20"/>
          <w:szCs w:val="20"/>
        </w:rPr>
        <w:t>Sensitivi</w:t>
      </w:r>
      <w:r>
        <w:rPr>
          <w:b/>
          <w:bCs/>
          <w:sz w:val="20"/>
          <w:szCs w:val="20"/>
        </w:rPr>
        <w:t>ty Analysis</w:t>
      </w:r>
    </w:p>
    <w:p w:rsidR="00000000" w:rsidRDefault="00827839">
      <w:pPr>
        <w:pStyle w:val="a3"/>
        <w:spacing w:before="120" w:beforeAutospacing="0" w:after="0" w:afterAutospacing="0"/>
        <w:ind w:firstLine="556"/>
        <w:jc w:val="both"/>
        <w:rPr>
          <w:sz w:val="20"/>
          <w:szCs w:val="20"/>
        </w:rPr>
      </w:pPr>
      <w:r>
        <w:rPr>
          <w:sz w:val="20"/>
          <w:szCs w:val="20"/>
        </w:rPr>
        <w:t>In an effort to estimate our exposure to unfavorable market price changes in commodities related to our open positions under derivative instruments, we developed a model that incorporates the following data and assumptions: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07578796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A.</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The fair value </w:t>
            </w:r>
            <w:r>
              <w:rPr>
                <w:sz w:val="20"/>
                <w:szCs w:val="20"/>
              </w:rPr>
              <w:t>of open positions as of September 28, 2019.</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B.</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market prices for the underlying commodities used to determine A. above were adjusted adversely by a hypothetical 10% change and compared to the fair value amounts in A. above to project the potential negative impact on earnings that would be recognize</w:t>
            </w:r>
            <w:r>
              <w:rPr>
                <w:sz w:val="20"/>
                <w:szCs w:val="20"/>
              </w:rPr>
              <w:t>d for the respective scenario.</w:t>
            </w:r>
          </w:p>
        </w:tc>
      </w:tr>
    </w:tbl>
    <w:p w:rsidR="00000000" w:rsidRDefault="00827839">
      <w:pPr>
        <w:pStyle w:val="a3"/>
        <w:spacing w:before="240" w:beforeAutospacing="0" w:after="0" w:afterAutospacing="0"/>
        <w:ind w:firstLine="556"/>
        <w:jc w:val="both"/>
        <w:rPr>
          <w:sz w:val="20"/>
          <w:szCs w:val="20"/>
        </w:rPr>
      </w:pPr>
      <w:r>
        <w:rPr>
          <w:sz w:val="20"/>
          <w:szCs w:val="20"/>
        </w:rPr>
        <w:t>Based on the sensitivity analysis described above, the hypothetical 10% adverse change in market prices for open derivative instruments as of September 28, 2019 indicates an increase in potential future net losses of $5.3 mi</w:t>
      </w:r>
      <w:r>
        <w:rPr>
          <w:sz w:val="20"/>
          <w:szCs w:val="20"/>
        </w:rPr>
        <w:t>llion.  See also Item 7A of this Annual Report.  The above hypothetical change does not reflect the worst case scenario.  Actual results may be significantly different depending on market conditions and the composition of the open position portfolio.</w:t>
      </w:r>
    </w:p>
    <w:p w:rsidR="00000000" w:rsidRDefault="00827839">
      <w:pPr>
        <w:pStyle w:val="a3"/>
        <w:spacing w:before="0" w:beforeAutospacing="0" w:after="0" w:afterAutospacing="0"/>
        <w:rPr>
          <w:sz w:val="12"/>
          <w:szCs w:val="12"/>
        </w:rPr>
      </w:pPr>
      <w:r>
        <w:rPr>
          <w:sz w:val="12"/>
          <w:szCs w:val="12"/>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3</w:t>
      </w:r>
      <w:r>
        <w:rPr>
          <w:sz w:val="20"/>
          <w:szCs w:val="20"/>
        </w:rPr>
        <w:t>9</w:t>
      </w:r>
    </w:p>
    <w:p w:rsidR="00000000" w:rsidRDefault="00827839">
      <w:pPr>
        <w:rPr>
          <w:rFonts w:eastAsia="Times New Roman"/>
        </w:rPr>
      </w:pPr>
      <w:r>
        <w:rPr>
          <w:rFonts w:eastAsia="Times New Roman"/>
        </w:rPr>
        <w:pict>
          <v:rect id="_x0000_i106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640769839"/>
        </w:trPr>
        <w:tc>
          <w:tcPr>
            <w:tcW w:w="513" w:type="pct"/>
            <w:noWrap/>
            <w:hideMark/>
          </w:tcPr>
          <w:p w:rsidR="00000000" w:rsidRDefault="00827839">
            <w:pPr>
              <w:pStyle w:val="a3"/>
              <w:spacing w:before="0" w:beforeAutospacing="0" w:after="0" w:afterAutospacing="0"/>
              <w:jc w:val="both"/>
              <w:rPr>
                <w:b/>
                <w:bCs/>
                <w:sz w:val="20"/>
                <w:szCs w:val="20"/>
              </w:rPr>
            </w:pPr>
            <w:r>
              <w:rPr>
                <w:b/>
                <w:bCs/>
                <w:sz w:val="20"/>
                <w:szCs w:val="20"/>
              </w:rPr>
              <w:t>ITEM 8.</w:t>
            </w:r>
          </w:p>
        </w:tc>
        <w:tc>
          <w:tcPr>
            <w:tcW w:w="0" w:type="auto"/>
            <w:hideMark/>
          </w:tcPr>
          <w:p w:rsidR="00000000" w:rsidRDefault="00827839">
            <w:pPr>
              <w:pStyle w:val="a3"/>
              <w:spacing w:before="0" w:beforeAutospacing="0" w:after="0" w:afterAutospacing="0"/>
              <w:jc w:val="both"/>
              <w:rPr>
                <w:b/>
                <w:bCs/>
                <w:sz w:val="20"/>
                <w:szCs w:val="20"/>
              </w:rPr>
            </w:pPr>
            <w:r>
              <w:rPr>
                <w:b/>
                <w:bCs/>
                <w:sz w:val="20"/>
                <w:szCs w:val="20"/>
              </w:rPr>
              <w:t>FINANCIAL STATEMENTS AND SUPPLEMENTARY DATA</w:t>
            </w:r>
          </w:p>
        </w:tc>
      </w:tr>
    </w:tbl>
    <w:p w:rsidR="00000000" w:rsidRDefault="00827839">
      <w:pPr>
        <w:pStyle w:val="a3"/>
        <w:spacing w:before="120" w:beforeAutospacing="0" w:after="0" w:afterAutospacing="0"/>
        <w:ind w:firstLine="556"/>
        <w:jc w:val="both"/>
        <w:rPr>
          <w:sz w:val="20"/>
          <w:szCs w:val="20"/>
        </w:rPr>
      </w:pPr>
      <w:r>
        <w:rPr>
          <w:sz w:val="20"/>
          <w:szCs w:val="20"/>
        </w:rPr>
        <w:t>Our Consolidated Financial Statements and the Report of Independent Registered Public Accounting Firm thereon listed on the accompanying Index to Financial Statements in Part IV, Item 15 (see page F-1) and the Supplemental Financial Information listed on t</w:t>
      </w:r>
      <w:r>
        <w:rPr>
          <w:sz w:val="20"/>
          <w:szCs w:val="20"/>
        </w:rPr>
        <w:t>he accompanying Index to Financial Statement Schedule in Part IV, Item 15 (see page S-1) are included herein.</w:t>
      </w:r>
    </w:p>
    <w:p w:rsidR="00000000" w:rsidRDefault="00827839">
      <w:pPr>
        <w:pStyle w:val="a3"/>
        <w:spacing w:before="360" w:beforeAutospacing="0" w:after="0" w:afterAutospacing="0"/>
        <w:jc w:val="both"/>
        <w:rPr>
          <w:b/>
          <w:bCs/>
          <w:sz w:val="20"/>
          <w:szCs w:val="20"/>
        </w:rPr>
      </w:pPr>
      <w:r>
        <w:rPr>
          <w:b/>
          <w:bCs/>
          <w:sz w:val="20"/>
          <w:szCs w:val="20"/>
        </w:rPr>
        <w:t>Selected Quarterly Financial Data</w:t>
      </w:r>
    </w:p>
    <w:p w:rsidR="00000000" w:rsidRDefault="00827839">
      <w:pPr>
        <w:pStyle w:val="a3"/>
        <w:spacing w:before="120" w:beforeAutospacing="0" w:after="0" w:afterAutospacing="0"/>
        <w:ind w:firstLine="556"/>
        <w:jc w:val="both"/>
        <w:rPr>
          <w:sz w:val="20"/>
          <w:szCs w:val="20"/>
        </w:rPr>
      </w:pPr>
      <w:r>
        <w:rPr>
          <w:sz w:val="20"/>
          <w:szCs w:val="20"/>
        </w:rPr>
        <w:t>Due to the seasonality of the retail propane, fuel oil and other refined fuel and natural gas businesses, our first and second quarter revenues and earnings are consistently greater than third and fourth quarter results. The following presents our selected</w:t>
      </w:r>
      <w:r>
        <w:rPr>
          <w:sz w:val="20"/>
          <w:szCs w:val="20"/>
        </w:rPr>
        <w:t xml:space="preserve"> quarterly financial data for the last two fiscal years (unaudited; in thousands, except per unit amounts).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42"/>
        <w:gridCol w:w="88"/>
        <w:gridCol w:w="115"/>
        <w:gridCol w:w="767"/>
        <w:gridCol w:w="82"/>
        <w:gridCol w:w="77"/>
        <w:gridCol w:w="115"/>
        <w:gridCol w:w="767"/>
        <w:gridCol w:w="82"/>
        <w:gridCol w:w="77"/>
        <w:gridCol w:w="115"/>
        <w:gridCol w:w="767"/>
        <w:gridCol w:w="82"/>
        <w:gridCol w:w="77"/>
        <w:gridCol w:w="115"/>
        <w:gridCol w:w="767"/>
        <w:gridCol w:w="82"/>
        <w:gridCol w:w="77"/>
        <w:gridCol w:w="115"/>
        <w:gridCol w:w="815"/>
        <w:gridCol w:w="82"/>
      </w:tblGrid>
      <w:tr w:rsidR="00000000">
        <w:trPr>
          <w:divId w:val="81682115"/>
        </w:trPr>
        <w:tc>
          <w:tcPr>
            <w:tcW w:w="183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First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Second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Third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Fourth</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Total</w:t>
            </w:r>
          </w:p>
          <w:p w:rsidR="00000000" w:rsidRDefault="00827839">
            <w:pPr>
              <w:pStyle w:val="a3"/>
              <w:spacing w:before="0" w:beforeAutospacing="0" w:after="0" w:afterAutospacing="0"/>
              <w:jc w:val="center"/>
              <w:rPr>
                <w:b/>
                <w:bCs/>
                <w:color w:val="000000"/>
                <w:sz w:val="16"/>
                <w:szCs w:val="16"/>
              </w:rPr>
            </w:pPr>
            <w:r>
              <w:rPr>
                <w:b/>
                <w:bCs/>
                <w:color w:val="000000"/>
                <w:sz w:val="16"/>
                <w:szCs w:val="16"/>
              </w:rPr>
              <w:t>Year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u w:val="single"/>
              </w:rPr>
              <w:t>Fiscal 2019</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Revenues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377,104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504,377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172,012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1,267,705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Costs of products sold</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182,585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201,522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78,596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59,285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521,988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Operating income (loss)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48,534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142,090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(8,784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(30,986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150,854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27,719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(51,062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 per Common Unit - basic (b)</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(0.82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 per Common Unit - diluted (b)</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provided by (used in):</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Operating activities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7,343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93,901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64,859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226,781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Investing activities</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(18,203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(14,489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(9,994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(48,515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Financing activities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(76,358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(53,800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(50,741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(180,989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 (c)</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77,429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171,538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20,191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267,024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 (c)</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93,340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163,017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20,053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275,032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Retail gallons sold</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124,053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165,241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73,785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63,666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426,745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9,136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13,240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4,331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29,817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137"/>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u w:val="single"/>
              </w:rPr>
              <w:t>Fiscal 2018</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Revenues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373,277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536,282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241,936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192,918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1,344,413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Costs of products sold</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165,189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246,642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95,392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85,407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592,630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sale of business (a)</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Operating income (loss) (d)</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56,920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127,404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4,233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(30,554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158,003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37,168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(50,826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 per Common Unit - basic (b)</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 per Common Unit - diluted (b)</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provided by (used in):</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Operating activities (e)</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80,855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73,765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53,076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210,412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Investing activities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(8,378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(8,124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(39,090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Financing activities (e)</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8,780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(72,896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(59,793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(45,038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(168,947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 (c)</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86,879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158,433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34,320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278,533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 (c)</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93,233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162,129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30,514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Retail gallons sold</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124,986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169,724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80,491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64,754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439,955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1682115"/>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13,645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05398659"/>
        </w:trPr>
        <w:tc>
          <w:tcPr>
            <w:tcW w:w="227" w:type="pct"/>
            <w:noWrap/>
            <w:hideMark/>
          </w:tcPr>
          <w:p w:rsidR="00000000" w:rsidRDefault="00827839">
            <w:pPr>
              <w:pStyle w:val="a3"/>
              <w:spacing w:before="40" w:beforeAutospacing="0" w:after="0" w:afterAutospacing="0"/>
              <w:jc w:val="both"/>
              <w:rPr>
                <w:sz w:val="20"/>
                <w:szCs w:val="20"/>
              </w:rPr>
            </w:pPr>
            <w:r>
              <w:rPr>
                <w:sz w:val="20"/>
                <w:szCs w:val="20"/>
              </w:rPr>
              <w:t>(a)</w:t>
            </w:r>
          </w:p>
        </w:tc>
        <w:tc>
          <w:tcPr>
            <w:tcW w:w="0" w:type="auto"/>
            <w:hideMark/>
          </w:tcPr>
          <w:p w:rsidR="00000000" w:rsidRDefault="00827839">
            <w:pPr>
              <w:pStyle w:val="a3"/>
              <w:spacing w:before="40" w:beforeAutospacing="0" w:after="0" w:afterAutospacing="0"/>
              <w:jc w:val="both"/>
              <w:rPr>
                <w:sz w:val="20"/>
                <w:szCs w:val="20"/>
              </w:rPr>
            </w:pPr>
            <w:r>
              <w:rPr>
                <w:sz w:val="20"/>
                <w:szCs w:val="20"/>
              </w:rPr>
              <w:t>During the first quarter of fiscal 2018, we sold certain assets and operations in a non-strategic market of the propane segment for $2.8 million, plus working capital consideration, resulting in a loss of $</w:t>
            </w:r>
            <w:r>
              <w:rPr>
                <w:sz w:val="20"/>
                <w:szCs w:val="20"/>
              </w:rPr>
              <w:t>4.8 million.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40</w:t>
      </w:r>
    </w:p>
    <w:p w:rsidR="00000000" w:rsidRDefault="00827839">
      <w:pPr>
        <w:rPr>
          <w:rFonts w:eastAsia="Times New Roman"/>
        </w:rPr>
      </w:pPr>
      <w:r>
        <w:rPr>
          <w:rFonts w:eastAsia="Times New Roman"/>
        </w:rPr>
        <w:pict>
          <v:rect id="_x0000_i106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49556674"/>
        </w:trPr>
        <w:tc>
          <w:tcPr>
            <w:tcW w:w="227" w:type="pct"/>
            <w:noWrap/>
            <w:hideMark/>
          </w:tcPr>
          <w:p w:rsidR="00000000" w:rsidRDefault="00827839">
            <w:pPr>
              <w:pStyle w:val="a3"/>
              <w:spacing w:before="120" w:beforeAutospacing="0" w:after="0" w:afterAutospacing="0"/>
              <w:jc w:val="both"/>
              <w:rPr>
                <w:sz w:val="20"/>
                <w:szCs w:val="20"/>
              </w:rPr>
            </w:pPr>
            <w:r>
              <w:rPr>
                <w:sz w:val="20"/>
                <w:szCs w:val="20"/>
              </w:rPr>
              <w:t>(b)</w:t>
            </w:r>
          </w:p>
        </w:tc>
        <w:tc>
          <w:tcPr>
            <w:tcW w:w="0" w:type="auto"/>
            <w:hideMark/>
          </w:tcPr>
          <w:p w:rsidR="00000000" w:rsidRDefault="00827839">
            <w:pPr>
              <w:pStyle w:val="a3"/>
              <w:spacing w:before="120" w:beforeAutospacing="0" w:after="0" w:afterAutospacing="0"/>
              <w:jc w:val="both"/>
              <w:rPr>
                <w:sz w:val="20"/>
                <w:szCs w:val="20"/>
              </w:rPr>
            </w:pPr>
            <w:r>
              <w:rPr>
                <w:sz w:val="20"/>
                <w:szCs w:val="20"/>
              </w:rPr>
              <w:t>Basic net income (loss) per Common Unit is computed by dividing net income (loss) by the weighted average number of outstanding Common Units, and restricted</w:t>
            </w:r>
            <w:r>
              <w:rPr>
                <w:sz w:val="20"/>
                <w:szCs w:val="20"/>
              </w:rPr>
              <w:t xml:space="preserve"> units granted under the Restricted Unit Plans to retirement-eligible grantees. Computations of diluted net income per Common Unit are performed by dividing net income by the weighted average number of outstanding Common Units and unvested restricted units</w:t>
            </w:r>
            <w:r>
              <w:rPr>
                <w:sz w:val="20"/>
                <w:szCs w:val="20"/>
              </w:rPr>
              <w:t xml:space="preserve"> granted under our Restricted Unit Plans.  Diluted loss per Common Unit for the periods where a net loss was reported does not include unvested restricted units granted under our Restricted Unit Plans as their effect would be anti-dilutive.</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38414458"/>
        </w:trPr>
        <w:tc>
          <w:tcPr>
            <w:tcW w:w="227" w:type="pct"/>
            <w:noWrap/>
            <w:hideMark/>
          </w:tcPr>
          <w:p w:rsidR="00000000" w:rsidRDefault="00827839">
            <w:pPr>
              <w:pStyle w:val="a3"/>
              <w:spacing w:before="0" w:beforeAutospacing="0" w:after="0" w:afterAutospacing="0"/>
              <w:jc w:val="both"/>
              <w:rPr>
                <w:sz w:val="20"/>
                <w:szCs w:val="20"/>
              </w:rPr>
            </w:pPr>
            <w:r>
              <w:rPr>
                <w:sz w:val="20"/>
                <w:szCs w:val="20"/>
              </w:rPr>
              <w:t>(c)</w:t>
            </w:r>
          </w:p>
        </w:tc>
        <w:tc>
          <w:tcPr>
            <w:tcW w:w="0" w:type="auto"/>
            <w:hideMark/>
          </w:tcPr>
          <w:p w:rsidR="00000000" w:rsidRDefault="00827839">
            <w:pPr>
              <w:pStyle w:val="a3"/>
              <w:spacing w:before="0" w:beforeAutospacing="0" w:after="0" w:afterAutospacing="0"/>
              <w:jc w:val="both"/>
              <w:rPr>
                <w:sz w:val="20"/>
                <w:szCs w:val="20"/>
              </w:rPr>
            </w:pPr>
            <w:r>
              <w:rPr>
                <w:sz w:val="20"/>
                <w:szCs w:val="20"/>
              </w:rPr>
              <w:t>EBITDA r</w:t>
            </w:r>
            <w:r>
              <w:rPr>
                <w:sz w:val="20"/>
                <w:szCs w:val="20"/>
              </w:rPr>
              <w:t>epresents net income before deducting interest expense, income taxes, depreciation and amortization.  Adjusted EBITDA represents EBITDA excluding the unrealized net gain or loss on mark-to-market activity for derivative instruments and other items, as appl</w:t>
            </w:r>
            <w:r>
              <w:rPr>
                <w:sz w:val="20"/>
                <w:szCs w:val="20"/>
              </w:rPr>
              <w:t>icable, as provided in the table below. Our management uses EBITDA and Adjusted EBITDA as supplemental measures of operating performance and we are including them because we believe that they provide our investors and industry analysts with additional info</w:t>
            </w:r>
            <w:r>
              <w:rPr>
                <w:sz w:val="20"/>
                <w:szCs w:val="20"/>
              </w:rPr>
              <w:t>rmation to evaluate our operating results.  EBITDA and Adjusted EBITDA are not recognized terms under US GAAP and should not be considered as an alternative to net income or net cash provided by operating activities determined in accordance with US GAAP.  </w:t>
            </w:r>
            <w:r>
              <w:rPr>
                <w:sz w:val="20"/>
                <w:szCs w:val="20"/>
              </w:rPr>
              <w:t xml:space="preserve">Because EBITDA and Adjusted EBITDA as determined by us excludes some, but not all, items that affect net income, they may not be comparable to EBITDA and Adjusted EBITDA or similarly titled measures used by other companies.  The following table sets forth </w:t>
            </w:r>
            <w:r>
              <w:rPr>
                <w:sz w:val="20"/>
                <w:szCs w:val="20"/>
              </w:rPr>
              <w:t>our calculations of EBITDA and Adjusted EBITDA:</w:t>
            </w:r>
          </w:p>
        </w:tc>
      </w:tr>
    </w:tbl>
    <w:p w:rsidR="00000000" w:rsidRDefault="00827839">
      <w:pPr>
        <w:pStyle w:val="a3"/>
        <w:spacing w:before="0" w:beforeAutospacing="0" w:after="0" w:afterAutospacing="0"/>
        <w:ind w:left="476"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55"/>
        <w:gridCol w:w="89"/>
        <w:gridCol w:w="115"/>
        <w:gridCol w:w="771"/>
        <w:gridCol w:w="82"/>
        <w:gridCol w:w="80"/>
        <w:gridCol w:w="115"/>
        <w:gridCol w:w="771"/>
        <w:gridCol w:w="82"/>
        <w:gridCol w:w="80"/>
        <w:gridCol w:w="115"/>
        <w:gridCol w:w="771"/>
        <w:gridCol w:w="82"/>
        <w:gridCol w:w="80"/>
        <w:gridCol w:w="115"/>
        <w:gridCol w:w="771"/>
        <w:gridCol w:w="82"/>
        <w:gridCol w:w="81"/>
        <w:gridCol w:w="115"/>
        <w:gridCol w:w="772"/>
        <w:gridCol w:w="82"/>
      </w:tblGrid>
      <w:tr w:rsidR="00000000">
        <w:trPr>
          <w:divId w:val="1141457840"/>
        </w:trPr>
        <w:tc>
          <w:tcPr>
            <w:tcW w:w="184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First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Second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Third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Fourth</w:t>
            </w:r>
          </w:p>
          <w:p w:rsidR="00000000" w:rsidRDefault="00827839">
            <w:pPr>
              <w:pStyle w:val="a3"/>
              <w:spacing w:before="0" w:beforeAutospacing="0" w:after="0" w:afterAutospacing="0"/>
              <w:jc w:val="center"/>
              <w:rPr>
                <w:b/>
                <w:bCs/>
                <w:color w:val="000000"/>
                <w:sz w:val="16"/>
                <w:szCs w:val="16"/>
              </w:rPr>
            </w:pPr>
            <w:r>
              <w:rPr>
                <w:b/>
                <w:bCs/>
                <w:color w:val="000000"/>
                <w:sz w:val="16"/>
                <w:szCs w:val="16"/>
              </w:rPr>
              <w:t>Quarter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Total</w:t>
            </w:r>
          </w:p>
          <w:p w:rsidR="00000000" w:rsidRDefault="00827839">
            <w:pPr>
              <w:pStyle w:val="a3"/>
              <w:spacing w:before="0" w:beforeAutospacing="0" w:after="0" w:afterAutospacing="0"/>
              <w:jc w:val="center"/>
              <w:rPr>
                <w:b/>
                <w:bCs/>
                <w:color w:val="000000"/>
                <w:sz w:val="16"/>
                <w:szCs w:val="16"/>
              </w:rPr>
            </w:pPr>
            <w:r>
              <w:rPr>
                <w:b/>
                <w:bCs/>
                <w:color w:val="000000"/>
                <w:sz w:val="16"/>
                <w:szCs w:val="16"/>
              </w:rPr>
              <w:t>Year</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u w:val="single"/>
              </w:rPr>
              <w:t>Fiscal 2019</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27,719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121,016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(51,062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Add:</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Provision for income taxes</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Interest expense, net</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19,488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19,647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18,622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Depreciation and amortization</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30,071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30,623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30,027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77,429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171,538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20,191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267,024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Unrealized (non-cash) losses (gains) on changes</w:t>
            </w:r>
          </w:p>
          <w:p w:rsidR="00000000" w:rsidRDefault="00827839">
            <w:pPr>
              <w:pStyle w:val="a3"/>
              <w:spacing w:before="0" w:beforeAutospacing="0" w:after="0" w:afterAutospacing="0"/>
              <w:rPr>
                <w:color w:val="000000"/>
                <w:sz w:val="20"/>
                <w:szCs w:val="20"/>
              </w:rPr>
            </w:pPr>
            <w:r>
              <w:rPr>
                <w:color w:val="000000"/>
                <w:sz w:val="20"/>
                <w:szCs w:val="20"/>
              </w:rPr>
              <w:t>   in fair value of derivatives</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15,911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93,340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163,017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20,053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(1,378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275,032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u w:val="single"/>
              </w:rPr>
              <w:t>Fiscal 2018</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(loss)</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37,168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106,787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(50,826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Add:</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(Benefit from) provision for income taxes</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Interest expense, net</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19,514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19,402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19,512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18,955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Depreciation and amortization</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31,131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32,203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31,259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30,629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EBITDA</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86,879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158,433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34,320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278,533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Unrealized (non-cash) losses (gains) on changes</w:t>
            </w:r>
          </w:p>
          <w:p w:rsidR="00000000" w:rsidRDefault="00827839">
            <w:pPr>
              <w:pStyle w:val="a3"/>
              <w:spacing w:before="0" w:beforeAutospacing="0" w:after="0" w:afterAutospacing="0"/>
              <w:rPr>
                <w:color w:val="000000"/>
                <w:sz w:val="20"/>
                <w:szCs w:val="20"/>
              </w:rPr>
            </w:pPr>
            <w:r>
              <w:rPr>
                <w:color w:val="000000"/>
                <w:sz w:val="20"/>
                <w:szCs w:val="20"/>
              </w:rPr>
              <w:t>   in fair value of derivatives</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141457840"/>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sale of business</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1457840"/>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Adjusted EBITDA</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93,233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162,129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30,514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283,046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left="476"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97964227"/>
        </w:trPr>
        <w:tc>
          <w:tcPr>
            <w:tcW w:w="227" w:type="pct"/>
            <w:noWrap/>
            <w:hideMark/>
          </w:tcPr>
          <w:p w:rsidR="00000000" w:rsidRDefault="00827839">
            <w:pPr>
              <w:pStyle w:val="a3"/>
              <w:spacing w:before="40" w:beforeAutospacing="0" w:after="0" w:afterAutospacing="0"/>
              <w:jc w:val="both"/>
              <w:rPr>
                <w:sz w:val="20"/>
                <w:szCs w:val="20"/>
              </w:rPr>
            </w:pPr>
            <w:r>
              <w:rPr>
                <w:sz w:val="20"/>
                <w:szCs w:val="20"/>
              </w:rPr>
              <w:t>(d)</w:t>
            </w:r>
          </w:p>
        </w:tc>
        <w:tc>
          <w:tcPr>
            <w:tcW w:w="0" w:type="auto"/>
            <w:hideMark/>
          </w:tcPr>
          <w:p w:rsidR="00000000" w:rsidRDefault="00827839">
            <w:pPr>
              <w:pStyle w:val="a3"/>
              <w:spacing w:before="40" w:beforeAutospacing="0" w:after="0" w:afterAutospacing="0"/>
              <w:jc w:val="both"/>
              <w:rPr>
                <w:sz w:val="20"/>
                <w:szCs w:val="20"/>
              </w:rPr>
            </w:pPr>
            <w:r>
              <w:rPr>
                <w:sz w:val="20"/>
                <w:szCs w:val="20"/>
              </w:rPr>
              <w:t>During the first quarter of fiscal 2019, we adopted new accounting guidance under ASU 2017-07, “Improving the Presentation of Net Periodic Pension Cost and Net Periodic Postretirement Benefit Cost” (“ASU 20</w:t>
            </w:r>
            <w:r>
              <w:rPr>
                <w:sz w:val="20"/>
                <w:szCs w:val="20"/>
              </w:rPr>
              <w:t>17-07”), which has been applied retrospectively.  This update required separate disclosure below Operating income on the face of the consolidated statements of operations for certain components of net periodic pension cost and net periodic postretirement c</w:t>
            </w:r>
            <w:r>
              <w:rPr>
                <w:sz w:val="20"/>
                <w:szCs w:val="20"/>
              </w:rPr>
              <w:t>ost</w:t>
            </w:r>
            <w:r>
              <w:rPr>
                <w:color w:val="000000"/>
                <w:sz w:val="20"/>
                <w:szCs w:val="20"/>
              </w:rPr>
              <w:t xml:space="preserve">. </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06704269"/>
        </w:trPr>
        <w:tc>
          <w:tcPr>
            <w:tcW w:w="227" w:type="pct"/>
            <w:noWrap/>
            <w:hideMark/>
          </w:tcPr>
          <w:p w:rsidR="00000000" w:rsidRDefault="00827839">
            <w:pPr>
              <w:pStyle w:val="a3"/>
              <w:spacing w:before="0" w:beforeAutospacing="0" w:after="0" w:afterAutospacing="0"/>
              <w:jc w:val="both"/>
              <w:rPr>
                <w:sz w:val="20"/>
                <w:szCs w:val="20"/>
              </w:rPr>
            </w:pPr>
            <w:r>
              <w:rPr>
                <w:sz w:val="20"/>
                <w:szCs w:val="20"/>
              </w:rPr>
              <w:t>(e)</w:t>
            </w:r>
          </w:p>
        </w:tc>
        <w:tc>
          <w:tcPr>
            <w:tcW w:w="0" w:type="auto"/>
            <w:hideMark/>
          </w:tcPr>
          <w:p w:rsidR="00000000" w:rsidRDefault="00827839">
            <w:pPr>
              <w:pStyle w:val="a3"/>
              <w:spacing w:before="0" w:beforeAutospacing="0" w:after="0" w:afterAutospacing="0"/>
              <w:jc w:val="both"/>
              <w:rPr>
                <w:sz w:val="20"/>
                <w:szCs w:val="20"/>
              </w:rPr>
            </w:pPr>
            <w:r>
              <w:rPr>
                <w:color w:val="000000"/>
                <w:sz w:val="20"/>
                <w:szCs w:val="20"/>
              </w:rPr>
              <w:t>During the first quarter of fiscal 2019, we adopted new accounting guidance regarding presentation of cash flows under ASU 2016-15, “Classification of Certain Cash Receipts and Cash Payments”, which has been applied retrospectively. This update addresses s</w:t>
            </w:r>
            <w:r>
              <w:rPr>
                <w:color w:val="000000"/>
                <w:sz w:val="20"/>
                <w:szCs w:val="20"/>
              </w:rPr>
              <w:t xml:space="preserve">pecific cash flow issues and has no material impact on the consolidated statement of cash flows. </w:t>
            </w:r>
          </w:p>
        </w:tc>
      </w:tr>
    </w:tbl>
    <w:p w:rsidR="00000000" w:rsidRDefault="00827839">
      <w:pPr>
        <w:pStyle w:val="a3"/>
        <w:spacing w:before="0" w:beforeAutospacing="0" w:after="0" w:afterAutospacing="0"/>
        <w:ind w:left="476" w:hanging="556"/>
        <w:jc w:val="both"/>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41</w:t>
      </w:r>
    </w:p>
    <w:p w:rsidR="00000000" w:rsidRDefault="00827839">
      <w:pPr>
        <w:rPr>
          <w:rFonts w:eastAsia="Times New Roman"/>
        </w:rPr>
      </w:pPr>
      <w:r>
        <w:rPr>
          <w:rFonts w:eastAsia="Times New Roman"/>
        </w:rPr>
        <w:pict>
          <v:rect id="_x0000_i106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322538478"/>
        </w:trPr>
        <w:tc>
          <w:tcPr>
            <w:tcW w:w="513" w:type="pct"/>
            <w:noWrap/>
            <w:hideMark/>
          </w:tcPr>
          <w:p w:rsidR="00000000" w:rsidRDefault="00827839">
            <w:pPr>
              <w:pStyle w:val="a3"/>
              <w:spacing w:before="180" w:beforeAutospacing="0" w:after="0" w:afterAutospacing="0"/>
              <w:jc w:val="both"/>
              <w:rPr>
                <w:b/>
                <w:bCs/>
                <w:sz w:val="20"/>
                <w:szCs w:val="20"/>
              </w:rPr>
            </w:pPr>
            <w:r>
              <w:rPr>
                <w:b/>
                <w:bCs/>
                <w:sz w:val="20"/>
                <w:szCs w:val="20"/>
              </w:rPr>
              <w:t>ITEM 9.</w:t>
            </w:r>
          </w:p>
        </w:tc>
        <w:tc>
          <w:tcPr>
            <w:tcW w:w="0" w:type="auto"/>
            <w:hideMark/>
          </w:tcPr>
          <w:p w:rsidR="00000000" w:rsidRDefault="00827839">
            <w:pPr>
              <w:pStyle w:val="a3"/>
              <w:spacing w:before="180" w:beforeAutospacing="0" w:after="0" w:afterAutospacing="0"/>
              <w:jc w:val="both"/>
              <w:rPr>
                <w:b/>
                <w:bCs/>
                <w:sz w:val="20"/>
                <w:szCs w:val="20"/>
              </w:rPr>
            </w:pPr>
            <w:r>
              <w:rPr>
                <w:b/>
                <w:bCs/>
                <w:sz w:val="20"/>
                <w:szCs w:val="20"/>
              </w:rPr>
              <w:t xml:space="preserve">CHANGES IN AND DISAGREEMENTS WITH ACCOUNTANTS </w:t>
            </w:r>
            <w:r>
              <w:rPr>
                <w:b/>
                <w:bCs/>
                <w:sz w:val="20"/>
                <w:szCs w:val="20"/>
              </w:rPr>
              <w:t>ON ACCOUNTING AND FINANCIAL DISCLOSURE</w:t>
            </w:r>
          </w:p>
        </w:tc>
      </w:tr>
    </w:tbl>
    <w:p w:rsidR="00000000" w:rsidRDefault="00827839">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113743804"/>
        </w:trPr>
        <w:tc>
          <w:tcPr>
            <w:tcW w:w="513" w:type="pct"/>
            <w:noWrap/>
            <w:hideMark/>
          </w:tcPr>
          <w:p w:rsidR="00000000" w:rsidRDefault="00827839">
            <w:pPr>
              <w:pStyle w:val="a3"/>
              <w:spacing w:before="360" w:beforeAutospacing="0" w:after="0" w:afterAutospacing="0"/>
              <w:jc w:val="both"/>
              <w:rPr>
                <w:b/>
                <w:bCs/>
                <w:sz w:val="20"/>
                <w:szCs w:val="20"/>
              </w:rPr>
            </w:pPr>
            <w:r>
              <w:rPr>
                <w:b/>
                <w:bCs/>
                <w:sz w:val="20"/>
                <w:szCs w:val="20"/>
              </w:rPr>
              <w:t>ITEM 9A.</w:t>
            </w:r>
          </w:p>
        </w:tc>
        <w:tc>
          <w:tcPr>
            <w:tcW w:w="0" w:type="auto"/>
            <w:hideMark/>
          </w:tcPr>
          <w:p w:rsidR="00000000" w:rsidRDefault="00827839">
            <w:pPr>
              <w:pStyle w:val="a3"/>
              <w:spacing w:before="360" w:beforeAutospacing="0" w:after="0" w:afterAutospacing="0"/>
              <w:jc w:val="both"/>
              <w:rPr>
                <w:b/>
                <w:bCs/>
                <w:sz w:val="20"/>
                <w:szCs w:val="20"/>
              </w:rPr>
            </w:pPr>
            <w:r>
              <w:rPr>
                <w:b/>
                <w:bCs/>
                <w:sz w:val="20"/>
                <w:szCs w:val="20"/>
              </w:rPr>
              <w:t>CONTROLS AND PROCEDURES</w:t>
            </w:r>
          </w:p>
        </w:tc>
      </w:tr>
    </w:tbl>
    <w:p w:rsidR="00000000" w:rsidRDefault="00827839">
      <w:pPr>
        <w:pStyle w:val="a3"/>
        <w:spacing w:before="120" w:beforeAutospacing="0" w:after="0" w:afterAutospacing="0"/>
        <w:jc w:val="both"/>
        <w:rPr>
          <w:b/>
          <w:bCs/>
          <w:sz w:val="20"/>
          <w:szCs w:val="20"/>
        </w:rPr>
      </w:pPr>
      <w:r>
        <w:rPr>
          <w:b/>
          <w:bCs/>
          <w:sz w:val="20"/>
          <w:szCs w:val="20"/>
        </w:rPr>
        <w:t>Evaluation of Disclosure Controls and Procedures</w:t>
      </w:r>
    </w:p>
    <w:p w:rsidR="00000000" w:rsidRDefault="00827839">
      <w:pPr>
        <w:pStyle w:val="a3"/>
        <w:spacing w:before="120" w:beforeAutospacing="0" w:after="0" w:afterAutospacing="0"/>
        <w:ind w:firstLine="556"/>
        <w:jc w:val="both"/>
        <w:rPr>
          <w:sz w:val="20"/>
          <w:szCs w:val="20"/>
        </w:rPr>
      </w:pPr>
      <w:r>
        <w:rPr>
          <w:sz w:val="20"/>
          <w:szCs w:val="20"/>
        </w:rPr>
        <w:t>The Partnership maintains disclosure controls and procedures (as defined in Rules 13a-15(e) and 15d-15(e) of the Securities Exchange Act of 1934 (the “Exchange Act”)) that are designed to provide reasonable assurance that information required to be disclos</w:t>
      </w:r>
      <w:r>
        <w:rPr>
          <w:sz w:val="20"/>
          <w:szCs w:val="20"/>
        </w:rPr>
        <w:t>ed in the Partnership’s filings and submissions under the Exchange Act is recorded, processed, summarized and reported within the periods specified in the rules and forms of the SEC and that such information is accumulated and communicated to the Partnersh</w:t>
      </w:r>
      <w:r>
        <w:rPr>
          <w:sz w:val="20"/>
          <w:szCs w:val="20"/>
        </w:rPr>
        <w:t>ip’s management, including its principal executive officer and principal financial officer, as appropriate, to allow timely decisions regarding required disclosure.</w:t>
      </w:r>
    </w:p>
    <w:p w:rsidR="00000000" w:rsidRDefault="00827839">
      <w:pPr>
        <w:pStyle w:val="a3"/>
        <w:spacing w:before="240" w:beforeAutospacing="0" w:after="0" w:afterAutospacing="0"/>
        <w:ind w:firstLine="556"/>
        <w:jc w:val="both"/>
        <w:rPr>
          <w:sz w:val="20"/>
          <w:szCs w:val="20"/>
        </w:rPr>
      </w:pPr>
      <w:r>
        <w:rPr>
          <w:sz w:val="20"/>
          <w:szCs w:val="20"/>
        </w:rPr>
        <w:t>Before filing this Annual Report, the Partnership completed an evaluation under the supervi</w:t>
      </w:r>
      <w:r>
        <w:rPr>
          <w:sz w:val="20"/>
          <w:szCs w:val="20"/>
        </w:rPr>
        <w:t>sion and with the participation of the Partnership’s management, including the Partnership’s principal executive officer and principal financial officer, of the effectiveness of the design and operation of the Partnership’s disclosure controls and procedur</w:t>
      </w:r>
      <w:r>
        <w:rPr>
          <w:sz w:val="20"/>
          <w:szCs w:val="20"/>
        </w:rPr>
        <w:t xml:space="preserve">es as of September 28, 2019.  Based on this evaluation, the Partnership’s principal executive officer and principal financial officer concluded that as of September 28, 2019, such disclosure controls and procedures were effective to provide the reasonable </w:t>
      </w:r>
      <w:r>
        <w:rPr>
          <w:sz w:val="20"/>
          <w:szCs w:val="20"/>
        </w:rPr>
        <w:t>assurance level described above.</w:t>
      </w:r>
    </w:p>
    <w:p w:rsidR="00000000" w:rsidRDefault="00827839">
      <w:pPr>
        <w:pStyle w:val="a3"/>
        <w:spacing w:before="360" w:beforeAutospacing="0" w:after="0" w:afterAutospacing="0"/>
        <w:jc w:val="both"/>
        <w:rPr>
          <w:b/>
          <w:bCs/>
          <w:sz w:val="20"/>
          <w:szCs w:val="20"/>
        </w:rPr>
      </w:pPr>
      <w:r>
        <w:rPr>
          <w:b/>
          <w:bCs/>
          <w:sz w:val="20"/>
          <w:szCs w:val="20"/>
        </w:rPr>
        <w:t>Changes in Internal Control Over Financial Reporting</w:t>
      </w:r>
    </w:p>
    <w:p w:rsidR="00000000" w:rsidRDefault="00827839">
      <w:pPr>
        <w:pStyle w:val="a3"/>
        <w:spacing w:before="120" w:beforeAutospacing="0" w:after="0" w:afterAutospacing="0"/>
        <w:ind w:firstLine="556"/>
        <w:jc w:val="both"/>
        <w:rPr>
          <w:sz w:val="20"/>
          <w:szCs w:val="20"/>
        </w:rPr>
      </w:pPr>
      <w:r>
        <w:rPr>
          <w:sz w:val="20"/>
          <w:szCs w:val="20"/>
        </w:rPr>
        <w:t>There have not been any changes in our internal control over financial reporting (as defined in Rules 13a-15(f) and 15d-15(f) of the Exchange Act) during the quarter ende</w:t>
      </w:r>
      <w:r>
        <w:rPr>
          <w:sz w:val="20"/>
          <w:szCs w:val="20"/>
        </w:rPr>
        <w:t>d September 28, 2019, that have materially affected, or are reasonably likely to materially affect, our internal control over financial reporting.  Management’s Report on Internal Control over Financial Reporting is included below.</w:t>
      </w:r>
    </w:p>
    <w:p w:rsidR="00000000" w:rsidRDefault="00827839">
      <w:pPr>
        <w:pStyle w:val="a3"/>
        <w:spacing w:before="360" w:beforeAutospacing="0" w:after="0" w:afterAutospacing="0"/>
        <w:jc w:val="both"/>
        <w:rPr>
          <w:b/>
          <w:bCs/>
          <w:sz w:val="20"/>
          <w:szCs w:val="20"/>
        </w:rPr>
      </w:pPr>
      <w:r>
        <w:rPr>
          <w:b/>
          <w:bCs/>
          <w:sz w:val="20"/>
          <w:szCs w:val="20"/>
        </w:rPr>
        <w:t>Management’s Report on I</w:t>
      </w:r>
      <w:r>
        <w:rPr>
          <w:b/>
          <w:bCs/>
          <w:sz w:val="20"/>
          <w:szCs w:val="20"/>
        </w:rPr>
        <w:t>nternal Control Over Financial Reporting</w:t>
      </w:r>
    </w:p>
    <w:p w:rsidR="00000000" w:rsidRDefault="00827839">
      <w:pPr>
        <w:pStyle w:val="a3"/>
        <w:spacing w:before="120" w:beforeAutospacing="0" w:after="0" w:afterAutospacing="0"/>
        <w:ind w:firstLine="556"/>
        <w:jc w:val="both"/>
        <w:rPr>
          <w:sz w:val="20"/>
          <w:szCs w:val="20"/>
        </w:rPr>
      </w:pPr>
      <w:r>
        <w:rPr>
          <w:sz w:val="20"/>
          <w:szCs w:val="20"/>
        </w:rPr>
        <w:t>Management of the Partnership is responsible for establishing and maintaining adequate internal control over financial reporting. The Partnership's internal control over financial reporting is designed to provide re</w:t>
      </w:r>
      <w:r>
        <w:rPr>
          <w:sz w:val="20"/>
          <w:szCs w:val="20"/>
        </w:rPr>
        <w:t>asonable assurance as to the reliability of the Partnership's financial reporting and the preparation of financial statements for external purposes in accordance with generally accepted accounting principles.</w:t>
      </w:r>
    </w:p>
    <w:p w:rsidR="00000000" w:rsidRDefault="00827839">
      <w:pPr>
        <w:pStyle w:val="a3"/>
        <w:spacing w:before="240" w:beforeAutospacing="0" w:after="0" w:afterAutospacing="0"/>
        <w:ind w:firstLine="556"/>
        <w:jc w:val="both"/>
        <w:rPr>
          <w:sz w:val="20"/>
          <w:szCs w:val="20"/>
        </w:rPr>
      </w:pPr>
      <w:r>
        <w:rPr>
          <w:sz w:val="20"/>
          <w:szCs w:val="20"/>
        </w:rPr>
        <w:t>Because of its inherent limitations, internal c</w:t>
      </w:r>
      <w:r>
        <w:rPr>
          <w:sz w:val="20"/>
          <w:szCs w:val="20"/>
        </w:rPr>
        <w:t>ontrol over financial reporting may not prevent or detect misstatements.  Also, projections of any evaluation of effectiveness to future periods are subject to the risk that controls may become inadequate because of changes in conditions, or that the degre</w:t>
      </w:r>
      <w:r>
        <w:rPr>
          <w:sz w:val="20"/>
          <w:szCs w:val="20"/>
        </w:rPr>
        <w:t>e of compliance with the policies or procedures may deteriorate.</w:t>
      </w:r>
    </w:p>
    <w:p w:rsidR="00000000" w:rsidRDefault="00827839">
      <w:pPr>
        <w:pStyle w:val="a3"/>
        <w:spacing w:before="240" w:beforeAutospacing="0" w:after="0" w:afterAutospacing="0"/>
        <w:ind w:firstLine="556"/>
        <w:jc w:val="both"/>
        <w:rPr>
          <w:sz w:val="20"/>
          <w:szCs w:val="20"/>
        </w:rPr>
      </w:pPr>
      <w:r>
        <w:rPr>
          <w:sz w:val="20"/>
          <w:szCs w:val="20"/>
        </w:rPr>
        <w:t>The Partnership’s management has assessed the effectiveness of the Partnership’s internal control over financial reporting as of September 28, 2019. In making this assessment, the Partnership</w:t>
      </w:r>
      <w:r>
        <w:rPr>
          <w:sz w:val="20"/>
          <w:szCs w:val="20"/>
        </w:rPr>
        <w:t xml:space="preserve"> used the criteria established by the Committee of Sponsoring Organizations of the Treadway Commission (“COSO”) in “Internal Control-Integrated Framework (2013).” These criteria are in the areas of control environment, risk assessment, control activities, </w:t>
      </w:r>
      <w:r>
        <w:rPr>
          <w:sz w:val="20"/>
          <w:szCs w:val="20"/>
        </w:rPr>
        <w:t>information and communication, and monitoring. The Partnership's assessment included documenting, evaluating and testing the design and operating effectiveness of its internal control over financial reporting.</w:t>
      </w:r>
    </w:p>
    <w:p w:rsidR="00000000" w:rsidRDefault="00827839">
      <w:pPr>
        <w:pStyle w:val="a3"/>
        <w:spacing w:before="240" w:beforeAutospacing="0" w:after="0" w:afterAutospacing="0"/>
        <w:ind w:firstLine="556"/>
        <w:jc w:val="both"/>
        <w:rPr>
          <w:sz w:val="20"/>
          <w:szCs w:val="20"/>
        </w:rPr>
      </w:pPr>
      <w:r>
        <w:rPr>
          <w:sz w:val="20"/>
          <w:szCs w:val="20"/>
        </w:rPr>
        <w:t>Based on the Partnership’s assessment, as desc</w:t>
      </w:r>
      <w:r>
        <w:rPr>
          <w:sz w:val="20"/>
          <w:szCs w:val="20"/>
        </w:rPr>
        <w:t>ribed above, management has concluded that, as of September 28, 2019, the Partnership’s internal control over financial reporting was effective.</w:t>
      </w:r>
    </w:p>
    <w:p w:rsidR="00000000" w:rsidRDefault="00827839">
      <w:pPr>
        <w:pStyle w:val="a3"/>
        <w:spacing w:before="240" w:beforeAutospacing="0" w:after="0" w:afterAutospacing="0"/>
        <w:ind w:firstLine="556"/>
        <w:jc w:val="both"/>
        <w:rPr>
          <w:sz w:val="20"/>
          <w:szCs w:val="20"/>
        </w:rPr>
      </w:pPr>
      <w:r>
        <w:rPr>
          <w:sz w:val="20"/>
          <w:szCs w:val="20"/>
        </w:rPr>
        <w:t>Our independent registered public accounting firm, PricewaterhouseCoopers LLP, issued an attestation report dat</w:t>
      </w:r>
      <w:r>
        <w:rPr>
          <w:sz w:val="20"/>
          <w:szCs w:val="20"/>
        </w:rPr>
        <w:t>ed November 27, 2019 on the effectiveness of our internal control over financial reporting, which is included herein.</w:t>
      </w:r>
    </w:p>
    <w:tbl>
      <w:tblPr>
        <w:tblW w:w="5000" w:type="pct"/>
        <w:tblCellMar>
          <w:left w:w="0" w:type="dxa"/>
          <w:right w:w="0" w:type="dxa"/>
        </w:tblCellMar>
        <w:tblLook w:val="04A0" w:firstRow="1" w:lastRow="0" w:firstColumn="1" w:lastColumn="0" w:noHBand="0" w:noVBand="1"/>
      </w:tblPr>
      <w:tblGrid>
        <w:gridCol w:w="867"/>
        <w:gridCol w:w="7439"/>
      </w:tblGrid>
      <w:tr w:rsidR="00000000">
        <w:trPr>
          <w:divId w:val="1529177663"/>
        </w:trPr>
        <w:tc>
          <w:tcPr>
            <w:tcW w:w="513" w:type="pct"/>
            <w:noWrap/>
            <w:hideMark/>
          </w:tcPr>
          <w:p w:rsidR="00000000" w:rsidRDefault="00827839">
            <w:pPr>
              <w:pStyle w:val="a3"/>
              <w:spacing w:before="360" w:beforeAutospacing="0" w:after="0" w:afterAutospacing="0"/>
              <w:jc w:val="both"/>
              <w:rPr>
                <w:b/>
                <w:bCs/>
                <w:sz w:val="20"/>
                <w:szCs w:val="20"/>
              </w:rPr>
            </w:pPr>
            <w:r>
              <w:rPr>
                <w:b/>
                <w:bCs/>
                <w:sz w:val="20"/>
                <w:szCs w:val="20"/>
              </w:rPr>
              <w:t>ITEM 9B.</w:t>
            </w:r>
          </w:p>
        </w:tc>
        <w:tc>
          <w:tcPr>
            <w:tcW w:w="0" w:type="auto"/>
            <w:hideMark/>
          </w:tcPr>
          <w:p w:rsidR="00000000" w:rsidRDefault="00827839">
            <w:pPr>
              <w:pStyle w:val="a3"/>
              <w:spacing w:before="360" w:beforeAutospacing="0" w:after="0" w:afterAutospacing="0"/>
              <w:jc w:val="both"/>
              <w:rPr>
                <w:b/>
                <w:bCs/>
                <w:sz w:val="20"/>
                <w:szCs w:val="20"/>
              </w:rPr>
            </w:pPr>
            <w:r>
              <w:rPr>
                <w:b/>
                <w:bCs/>
                <w:sz w:val="20"/>
                <w:szCs w:val="20"/>
              </w:rPr>
              <w:t>OTHER INFORMATION</w:t>
            </w:r>
          </w:p>
        </w:tc>
      </w:tr>
    </w:tbl>
    <w:p w:rsidR="00000000" w:rsidRDefault="00827839">
      <w:pPr>
        <w:pStyle w:val="a3"/>
        <w:spacing w:before="120" w:beforeAutospacing="0" w:after="0" w:afterAutospacing="0"/>
        <w:ind w:firstLine="556"/>
        <w:jc w:val="both"/>
        <w:rPr>
          <w:sz w:val="20"/>
          <w:szCs w:val="20"/>
        </w:rPr>
      </w:pPr>
      <w:r>
        <w:rPr>
          <w:sz w:val="20"/>
          <w:szCs w:val="20"/>
        </w:rPr>
        <w:t>None.</w:t>
      </w:r>
    </w:p>
    <w:p w:rsidR="00000000" w:rsidRDefault="00827839">
      <w:pPr>
        <w:pStyle w:val="a3"/>
        <w:spacing w:before="0" w:beforeAutospacing="0" w:after="0" w:afterAutospacing="0"/>
        <w:jc w:val="both"/>
        <w:rPr>
          <w:sz w:val="18"/>
          <w:szCs w:val="18"/>
        </w:rPr>
      </w:pPr>
      <w:r>
        <w:rPr>
          <w:sz w:val="18"/>
          <w:szCs w:val="18"/>
        </w:rPr>
        <w:t> </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42</w:t>
      </w:r>
    </w:p>
    <w:p w:rsidR="00000000" w:rsidRDefault="00827839">
      <w:pPr>
        <w:rPr>
          <w:rFonts w:eastAsia="Times New Roman"/>
        </w:rPr>
      </w:pPr>
      <w:r>
        <w:rPr>
          <w:rFonts w:eastAsia="Times New Roman"/>
        </w:rPr>
        <w:pict>
          <v:rect id="_x0000_i106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center"/>
        <w:rPr>
          <w:b/>
          <w:bCs/>
          <w:sz w:val="20"/>
          <w:szCs w:val="20"/>
        </w:rPr>
      </w:pPr>
      <w:r>
        <w:rPr>
          <w:b/>
          <w:bCs/>
          <w:sz w:val="20"/>
          <w:szCs w:val="20"/>
        </w:rPr>
        <w:t>PART III</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876284342"/>
        </w:trPr>
        <w:tc>
          <w:tcPr>
            <w:tcW w:w="513" w:type="pct"/>
            <w:noWrap/>
            <w:hideMark/>
          </w:tcPr>
          <w:p w:rsidR="00000000" w:rsidRDefault="00827839">
            <w:pPr>
              <w:pStyle w:val="a3"/>
              <w:spacing w:before="240" w:beforeAutospacing="0" w:after="0" w:afterAutospacing="0"/>
              <w:jc w:val="both"/>
              <w:rPr>
                <w:b/>
                <w:bCs/>
                <w:sz w:val="20"/>
                <w:szCs w:val="20"/>
              </w:rPr>
            </w:pPr>
            <w:r>
              <w:rPr>
                <w:b/>
                <w:bCs/>
                <w:sz w:val="20"/>
                <w:szCs w:val="20"/>
              </w:rPr>
              <w:t>ITEM 10.</w:t>
            </w:r>
          </w:p>
        </w:tc>
        <w:tc>
          <w:tcPr>
            <w:tcW w:w="0" w:type="auto"/>
            <w:hideMark/>
          </w:tcPr>
          <w:p w:rsidR="00000000" w:rsidRDefault="00827839">
            <w:pPr>
              <w:pStyle w:val="a3"/>
              <w:spacing w:before="240" w:beforeAutospacing="0" w:after="0" w:afterAutospacing="0"/>
              <w:jc w:val="both"/>
              <w:rPr>
                <w:b/>
                <w:bCs/>
                <w:sz w:val="20"/>
                <w:szCs w:val="20"/>
              </w:rPr>
            </w:pPr>
            <w:r>
              <w:rPr>
                <w:b/>
                <w:bCs/>
                <w:sz w:val="20"/>
                <w:szCs w:val="20"/>
              </w:rPr>
              <w:t>DIRECTORS, EXECUTIVE OFFICERS AND PARTNERSHIP GOVERNANCE</w:t>
            </w:r>
          </w:p>
        </w:tc>
      </w:tr>
    </w:tbl>
    <w:p w:rsidR="00000000" w:rsidRDefault="00827839">
      <w:pPr>
        <w:pStyle w:val="a3"/>
        <w:spacing w:before="120" w:beforeAutospacing="0" w:after="0" w:afterAutospacing="0"/>
        <w:jc w:val="both"/>
        <w:rPr>
          <w:b/>
          <w:bCs/>
          <w:sz w:val="20"/>
          <w:szCs w:val="20"/>
        </w:rPr>
      </w:pPr>
      <w:r>
        <w:rPr>
          <w:b/>
          <w:bCs/>
          <w:sz w:val="20"/>
          <w:szCs w:val="20"/>
        </w:rPr>
        <w:t>Partnership Management</w:t>
      </w:r>
    </w:p>
    <w:p w:rsidR="00000000" w:rsidRDefault="00827839">
      <w:pPr>
        <w:pStyle w:val="a3"/>
        <w:spacing w:before="120" w:beforeAutospacing="0" w:after="0" w:afterAutospacing="0"/>
        <w:ind w:firstLine="556"/>
        <w:jc w:val="both"/>
        <w:rPr>
          <w:sz w:val="20"/>
          <w:szCs w:val="20"/>
        </w:rPr>
      </w:pPr>
      <w:r>
        <w:rPr>
          <w:sz w:val="20"/>
          <w:szCs w:val="20"/>
        </w:rPr>
        <w:t>Our Partnership Agreement provides that all management powers</w:t>
      </w:r>
      <w:r>
        <w:rPr>
          <w:sz w:val="20"/>
          <w:szCs w:val="20"/>
        </w:rPr>
        <w:t xml:space="preserve"> over our business and affairs are exclusively vested in our Board of Supervisors and, subject to the direction of the Board of Supervisors, our officers.  No Unitholder has any management power over our business and affairs or actual or apparent authority</w:t>
      </w:r>
      <w:r>
        <w:rPr>
          <w:sz w:val="20"/>
          <w:szCs w:val="20"/>
        </w:rPr>
        <w:t xml:space="preserve"> to enter into contracts on behalf of or otherwise to bind us.  Under the current Partnership Agreement, members of our Board of Supervisors are elected by the Unitholders for three-year terms.  </w:t>
      </w:r>
    </w:p>
    <w:p w:rsidR="00000000" w:rsidRDefault="00827839">
      <w:pPr>
        <w:pStyle w:val="a3"/>
        <w:spacing w:before="240" w:beforeAutospacing="0" w:after="0" w:afterAutospacing="0"/>
        <w:ind w:firstLine="556"/>
        <w:jc w:val="both"/>
        <w:rPr>
          <w:sz w:val="20"/>
          <w:szCs w:val="20"/>
        </w:rPr>
      </w:pPr>
      <w:r>
        <w:rPr>
          <w:sz w:val="20"/>
          <w:szCs w:val="20"/>
        </w:rPr>
        <w:t xml:space="preserve">All eight of our current Supervisors, namely Messrs. Harold </w:t>
      </w:r>
      <w:r>
        <w:rPr>
          <w:sz w:val="20"/>
          <w:szCs w:val="20"/>
        </w:rPr>
        <w:t>R. Logan Jr., Lawrence C. Caldwell, Matthew J. Chanin, Terence J. Connors, William M. Landuyt, Michael A. Stivala, John Hoyt Stookey and Ms. Jane Swift, were elected to their current three-year terms at the Tri-Annual Meeting of our Unitholders held on May</w:t>
      </w:r>
      <w:r>
        <w:rPr>
          <w:sz w:val="20"/>
          <w:szCs w:val="20"/>
        </w:rPr>
        <w:t xml:space="preserve"> 15, 2018. </w:t>
      </w:r>
    </w:p>
    <w:p w:rsidR="00000000" w:rsidRDefault="00827839">
      <w:pPr>
        <w:pStyle w:val="a3"/>
        <w:spacing w:before="240" w:beforeAutospacing="0" w:after="0" w:afterAutospacing="0"/>
        <w:ind w:firstLine="556"/>
        <w:jc w:val="both"/>
        <w:rPr>
          <w:sz w:val="20"/>
          <w:szCs w:val="20"/>
        </w:rPr>
      </w:pPr>
      <w:r>
        <w:rPr>
          <w:sz w:val="20"/>
          <w:szCs w:val="20"/>
        </w:rPr>
        <w:t>Four Supervisors, who are not officers or employees of the Partnership or its subsidiaries, currently serve on the Audit Committee with authority to review, at the request of the Board of Supervisors, specific matters as to which the Board of Supervisors b</w:t>
      </w:r>
      <w:r>
        <w:rPr>
          <w:sz w:val="20"/>
          <w:szCs w:val="20"/>
        </w:rPr>
        <w:t>elieves there may be a conflict of interest, or which may be required to be disclosed pursuant to Item 404(a) of Regulation S-K adopted by the SEC, in order to determine if the resolution or course of action in respect of such conflict proposed by the Boar</w:t>
      </w:r>
      <w:r>
        <w:rPr>
          <w:sz w:val="20"/>
          <w:szCs w:val="20"/>
        </w:rPr>
        <w:t>d of Supervisors is fair and reasonable to us. Under the Partnership Agreement, any matter that receives the “Special Approval” of the Audit Committee (i.e., approval by a majority of the members of the Audit Committee) is conclusively deemed to be fair an</w:t>
      </w:r>
      <w:r>
        <w:rPr>
          <w:sz w:val="20"/>
          <w:szCs w:val="20"/>
        </w:rPr>
        <w:t>d reasonable to us, is deemed approved by all of our partners and shall not constitute a breach of the Partnership Agreement or any duty stated or implied by law or equity as long as the material facts known to the party having the potential conflict of in</w:t>
      </w:r>
      <w:r>
        <w:rPr>
          <w:sz w:val="20"/>
          <w:szCs w:val="20"/>
        </w:rPr>
        <w:t xml:space="preserve">terest regarding that matter were disclosed to the Audit Committee at the time it gave Special Approval.  The Audit Committee also assists the Board of Supervisors in fulfilling its oversight responsibilities relating to (i) integrity of the Partnership’s </w:t>
      </w:r>
      <w:r>
        <w:rPr>
          <w:sz w:val="20"/>
          <w:szCs w:val="20"/>
        </w:rPr>
        <w:t>financial statements and internal control over financial reporting; (ii) the Partnership’s compliance with applicable laws, regulations and its code of conduct; (iii) independence and qualifications of the independent registered public accounting firm; (iv</w:t>
      </w:r>
      <w:r>
        <w:rPr>
          <w:sz w:val="20"/>
          <w:szCs w:val="20"/>
        </w:rPr>
        <w:t>) performance of the internal audit function and the independent registered public accounting firm; and (v) accounting complaints.</w:t>
      </w:r>
    </w:p>
    <w:p w:rsidR="00000000" w:rsidRDefault="00827839">
      <w:pPr>
        <w:pStyle w:val="a3"/>
        <w:spacing w:before="240" w:beforeAutospacing="0" w:after="0" w:afterAutospacing="0"/>
        <w:ind w:firstLine="556"/>
        <w:jc w:val="both"/>
        <w:rPr>
          <w:sz w:val="20"/>
          <w:szCs w:val="20"/>
        </w:rPr>
      </w:pPr>
      <w:r>
        <w:rPr>
          <w:sz w:val="20"/>
          <w:szCs w:val="20"/>
        </w:rPr>
        <w:t>The Board of Supervisors has determined that all four current members of the Audit Committee, Terence J. Connors, Lawrence C.</w:t>
      </w:r>
      <w:r>
        <w:rPr>
          <w:sz w:val="20"/>
          <w:szCs w:val="20"/>
        </w:rPr>
        <w:t xml:space="preserve"> Caldwell, William M. Landuyt and Jane Swift, are independent and (with the exception of Ms. Swift) audit committee financial experts within the meaning of the NYSE corporate governance listing standards and in accordance with Rule 10A-3 of the Exchange Ac</w:t>
      </w:r>
      <w:r>
        <w:rPr>
          <w:sz w:val="20"/>
          <w:szCs w:val="20"/>
        </w:rPr>
        <w:t>t, Item 407 of Regulation S-K and the Partnership’s criteria for Supervisor independence (as discussed in Item 13, herein) as of the date of this Annual Report.  </w:t>
      </w:r>
    </w:p>
    <w:p w:rsidR="00000000" w:rsidRDefault="00827839">
      <w:pPr>
        <w:pStyle w:val="a3"/>
        <w:spacing w:before="240" w:beforeAutospacing="0" w:after="0" w:afterAutospacing="0"/>
        <w:ind w:firstLine="556"/>
        <w:jc w:val="both"/>
        <w:rPr>
          <w:sz w:val="20"/>
          <w:szCs w:val="20"/>
        </w:rPr>
      </w:pPr>
      <w:r>
        <w:rPr>
          <w:sz w:val="20"/>
          <w:szCs w:val="20"/>
        </w:rPr>
        <w:t>Mr. Logan, Chairman of the Board, presides at regularly scheduled executive sessions of the n</w:t>
      </w:r>
      <w:r>
        <w:rPr>
          <w:sz w:val="20"/>
          <w:szCs w:val="20"/>
        </w:rPr>
        <w:t xml:space="preserve">on-management Supervisors, all of whom are independent, held as part of the regular meetings of the Board of Supervisors.  Investors and other parties interested in communicating directly with the non-management Supervisors as a group may do so by writing </w:t>
      </w:r>
      <w:r>
        <w:rPr>
          <w:sz w:val="20"/>
          <w:szCs w:val="20"/>
        </w:rPr>
        <w:t>to the Non-Management Members of the Board of Supervisors, c/o Company Secretary, Suburban Propane Partners, L.P., P.O. Box 206, Whippany, New Jersey 07981-0206.</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43</w:t>
      </w:r>
    </w:p>
    <w:p w:rsidR="00000000" w:rsidRDefault="00827839">
      <w:pPr>
        <w:rPr>
          <w:rFonts w:eastAsia="Times New Roman"/>
        </w:rPr>
      </w:pPr>
      <w:r>
        <w:rPr>
          <w:rFonts w:eastAsia="Times New Roman"/>
        </w:rPr>
        <w:pict>
          <v:rect id="_x0000_i107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w:t>
        </w:r>
        <w:r>
          <w:rPr>
            <w:rStyle w:val="a4"/>
            <w:sz w:val="18"/>
            <w:szCs w:val="18"/>
          </w:rPr>
          <w:t>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sz w:val="20"/>
          <w:szCs w:val="20"/>
        </w:rPr>
      </w:pPr>
      <w:r>
        <w:rPr>
          <w:b/>
          <w:bCs/>
          <w:sz w:val="20"/>
          <w:szCs w:val="20"/>
        </w:rPr>
        <w:t>Board of Supervisors and Executive Officers of the Partnership</w:t>
      </w:r>
    </w:p>
    <w:p w:rsidR="00000000" w:rsidRDefault="00827839">
      <w:pPr>
        <w:pStyle w:val="a3"/>
        <w:spacing w:before="120" w:beforeAutospacing="0" w:after="0" w:afterAutospacing="0"/>
        <w:ind w:firstLine="556"/>
        <w:jc w:val="both"/>
        <w:rPr>
          <w:sz w:val="20"/>
          <w:szCs w:val="20"/>
        </w:rPr>
      </w:pPr>
      <w:r>
        <w:rPr>
          <w:sz w:val="20"/>
          <w:szCs w:val="20"/>
        </w:rPr>
        <w:t>The following table sets forth certain information with respect to the members of the Board of Supervisors and our executive officers as of November 27, 2019.  Officers are appointed by</w:t>
      </w:r>
      <w:r>
        <w:rPr>
          <w:sz w:val="20"/>
          <w:szCs w:val="20"/>
        </w:rPr>
        <w:t xml:space="preserve"> the Board of Supervisors for one</w:t>
      </w:r>
      <w:r>
        <w:rPr>
          <w:sz w:val="20"/>
          <w:szCs w:val="20"/>
        </w:rPr>
        <w:noBreakHyphen/>
        <w:t>year terms and Supervisors (other than those elected by the Board to fill vacancies) are elected by the Unitholders for three</w:t>
      </w:r>
      <w:r>
        <w:rPr>
          <w:sz w:val="20"/>
          <w:szCs w:val="20"/>
        </w:rPr>
        <w:noBreakHyphen/>
        <w:t>year terms.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34"/>
        <w:gridCol w:w="105"/>
        <w:gridCol w:w="478"/>
        <w:gridCol w:w="88"/>
        <w:gridCol w:w="5201"/>
      </w:tblGrid>
      <w:tr w:rsidR="00000000">
        <w:trPr>
          <w:divId w:val="885335377"/>
        </w:trPr>
        <w:tc>
          <w:tcPr>
            <w:tcW w:w="1465" w:type="pct"/>
            <w:tcBorders>
              <w:bottom w:val="single" w:sz="6" w:space="0" w:color="000000"/>
            </w:tcBorders>
            <w:hideMark/>
          </w:tcPr>
          <w:p w:rsidR="00000000" w:rsidRDefault="00827839">
            <w:pPr>
              <w:pStyle w:val="a3"/>
              <w:spacing w:before="0" w:beforeAutospacing="0" w:after="0" w:afterAutospacing="0"/>
              <w:jc w:val="center"/>
              <w:rPr>
                <w:b/>
                <w:bCs/>
                <w:sz w:val="16"/>
                <w:szCs w:val="16"/>
              </w:rPr>
            </w:pPr>
            <w:r>
              <w:rPr>
                <w:b/>
                <w:bCs/>
                <w:sz w:val="16"/>
                <w:szCs w:val="16"/>
              </w:rPr>
              <w:t>Name</w:t>
            </w:r>
          </w:p>
        </w:tc>
        <w:tc>
          <w:tcPr>
            <w:tcW w:w="63" w:type="pct"/>
            <w:hideMark/>
          </w:tcPr>
          <w:p w:rsidR="00000000" w:rsidRDefault="00827839">
            <w:pPr>
              <w:pStyle w:val="a3"/>
              <w:spacing w:before="0" w:beforeAutospacing="0" w:after="0" w:afterAutospacing="0"/>
              <w:jc w:val="center"/>
              <w:rPr>
                <w:b/>
                <w:bCs/>
                <w:sz w:val="16"/>
                <w:szCs w:val="16"/>
              </w:rPr>
            </w:pPr>
            <w:r>
              <w:rPr>
                <w:b/>
                <w:bCs/>
                <w:sz w:val="16"/>
                <w:szCs w:val="16"/>
              </w:rPr>
              <w:t> </w:t>
            </w:r>
          </w:p>
        </w:tc>
        <w:tc>
          <w:tcPr>
            <w:tcW w:w="288" w:type="pct"/>
            <w:tcBorders>
              <w:bottom w:val="single" w:sz="6" w:space="0" w:color="000000"/>
            </w:tcBorders>
            <w:hideMark/>
          </w:tcPr>
          <w:p w:rsidR="00000000" w:rsidRDefault="00827839">
            <w:pPr>
              <w:pStyle w:val="a3"/>
              <w:spacing w:before="0" w:beforeAutospacing="0" w:after="0" w:afterAutospacing="0"/>
              <w:jc w:val="center"/>
              <w:rPr>
                <w:b/>
                <w:bCs/>
                <w:sz w:val="16"/>
                <w:szCs w:val="16"/>
              </w:rPr>
            </w:pPr>
            <w:r>
              <w:rPr>
                <w:b/>
                <w:bCs/>
                <w:sz w:val="16"/>
                <w:szCs w:val="16"/>
              </w:rPr>
              <w:t>Age</w:t>
            </w:r>
          </w:p>
        </w:tc>
        <w:tc>
          <w:tcPr>
            <w:tcW w:w="53" w:type="pct"/>
            <w:hideMark/>
          </w:tcPr>
          <w:p w:rsidR="00000000" w:rsidRDefault="00827839">
            <w:pPr>
              <w:pStyle w:val="a3"/>
              <w:spacing w:before="0" w:beforeAutospacing="0" w:after="0" w:afterAutospacing="0"/>
              <w:jc w:val="center"/>
              <w:rPr>
                <w:b/>
                <w:bCs/>
                <w:sz w:val="16"/>
                <w:szCs w:val="16"/>
              </w:rPr>
            </w:pPr>
            <w:r>
              <w:rPr>
                <w:b/>
                <w:bCs/>
                <w:sz w:val="16"/>
                <w:szCs w:val="16"/>
              </w:rPr>
              <w:t> </w:t>
            </w:r>
          </w:p>
        </w:tc>
        <w:tc>
          <w:tcPr>
            <w:tcW w:w="3130" w:type="pct"/>
            <w:tcBorders>
              <w:bottom w:val="single" w:sz="6" w:space="0" w:color="000000"/>
            </w:tcBorders>
            <w:hideMark/>
          </w:tcPr>
          <w:p w:rsidR="00000000" w:rsidRDefault="00827839">
            <w:pPr>
              <w:pStyle w:val="a3"/>
              <w:spacing w:before="0" w:beforeAutospacing="0" w:after="0" w:afterAutospacing="0"/>
              <w:jc w:val="center"/>
              <w:rPr>
                <w:b/>
                <w:bCs/>
                <w:sz w:val="16"/>
                <w:szCs w:val="16"/>
              </w:rPr>
            </w:pPr>
            <w:r>
              <w:rPr>
                <w:b/>
                <w:bCs/>
                <w:sz w:val="16"/>
                <w:szCs w:val="16"/>
              </w:rPr>
              <w:t>Position With the Partnership</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Michael A. Stivala</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50</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ind w:left="245" w:hanging="245"/>
              <w:rPr>
                <w:sz w:val="20"/>
                <w:szCs w:val="20"/>
              </w:rPr>
            </w:pPr>
            <w:r>
              <w:rPr>
                <w:sz w:val="20"/>
                <w:szCs w:val="20"/>
              </w:rPr>
              <w:t>President and Chief Executive Officer; Member of the Board of Supervisors</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Michael A. Kuglin</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49</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Chief Financial Officer &amp; Chief Accounting Officer</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Steven C. Boyd</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55</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Chief Operating Officer</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Douglas T. Brinkworth</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58</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Senior Vice President – Product Supply, Purchasing &amp; Logistics</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Neil E. Scanlon</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54</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Senior Vice President – Information Services</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Daniel S. Bloomstein</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46</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Vice President and Controller</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A. Davin D’Ambrosio</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55</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Vice President and Treasurer</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Bryon L. Koepke</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47</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Vice President – General Counsel and Secretary</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Keith P. Onderdonk</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55</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Vice President – Operational Support</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Michael A. Schueler</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53</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Vice President – Product Supply</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Sandra N. Zwickel</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53</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Vice President – Human Resources</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Harold R. Logan, Jr.</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75</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Member of the Board of Supervisors (Chairman)</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John Hoyt Stookey</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89</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ind w:left="245" w:hanging="245"/>
              <w:rPr>
                <w:sz w:val="20"/>
                <w:szCs w:val="20"/>
              </w:rPr>
            </w:pPr>
            <w:r>
              <w:rPr>
                <w:sz w:val="20"/>
                <w:szCs w:val="20"/>
              </w:rPr>
              <w:t>Member of the Board of Supervisors</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Jane Swift</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54</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Member of the Board of Supervisors</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Lawrence C. Caldwell</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73</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Member of the Board of Supervisors</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Matthew J. Chanin</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65</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Member of the Board of Supervisors (Chairman of the Compensation Committee)</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Terence J. Connors</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65</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Member of the Board of Supervisors (Chairman of the Audit Commit</w:t>
            </w:r>
            <w:r>
              <w:rPr>
                <w:sz w:val="20"/>
                <w:szCs w:val="20"/>
              </w:rPr>
              <w:t>tee)</w:t>
            </w:r>
          </w:p>
        </w:tc>
      </w:tr>
      <w:tr w:rsidR="00000000">
        <w:trPr>
          <w:divId w:val="885335377"/>
        </w:trPr>
        <w:tc>
          <w:tcPr>
            <w:tcW w:w="1465" w:type="pct"/>
            <w:hideMark/>
          </w:tcPr>
          <w:p w:rsidR="00000000" w:rsidRDefault="00827839">
            <w:pPr>
              <w:pStyle w:val="a3"/>
              <w:spacing w:before="0" w:beforeAutospacing="0" w:after="0" w:afterAutospacing="0"/>
              <w:rPr>
                <w:sz w:val="20"/>
                <w:szCs w:val="20"/>
              </w:rPr>
            </w:pPr>
            <w:r>
              <w:rPr>
                <w:sz w:val="20"/>
                <w:szCs w:val="20"/>
              </w:rPr>
              <w:t>William M. Landuyt</w:t>
            </w:r>
          </w:p>
        </w:tc>
        <w:tc>
          <w:tcPr>
            <w:tcW w:w="63" w:type="pct"/>
            <w:hideMark/>
          </w:tcPr>
          <w:p w:rsidR="00000000" w:rsidRDefault="00827839">
            <w:pPr>
              <w:pStyle w:val="a3"/>
              <w:spacing w:before="0" w:beforeAutospacing="0" w:after="0" w:afterAutospacing="0"/>
              <w:rPr>
                <w:sz w:val="20"/>
                <w:szCs w:val="20"/>
              </w:rPr>
            </w:pPr>
            <w:r>
              <w:rPr>
                <w:sz w:val="20"/>
                <w:szCs w:val="20"/>
              </w:rPr>
              <w:t> </w:t>
            </w:r>
          </w:p>
        </w:tc>
        <w:tc>
          <w:tcPr>
            <w:tcW w:w="288" w:type="pct"/>
            <w:hideMark/>
          </w:tcPr>
          <w:p w:rsidR="00000000" w:rsidRDefault="00827839">
            <w:pPr>
              <w:pStyle w:val="a3"/>
              <w:spacing w:before="0" w:beforeAutospacing="0" w:after="0" w:afterAutospacing="0"/>
              <w:jc w:val="center"/>
              <w:rPr>
                <w:sz w:val="20"/>
                <w:szCs w:val="20"/>
              </w:rPr>
            </w:pPr>
            <w:r>
              <w:rPr>
                <w:sz w:val="20"/>
                <w:szCs w:val="20"/>
              </w:rPr>
              <w:t>64</w:t>
            </w:r>
          </w:p>
        </w:tc>
        <w:tc>
          <w:tcPr>
            <w:tcW w:w="53" w:type="pct"/>
            <w:hideMark/>
          </w:tcPr>
          <w:p w:rsidR="00000000" w:rsidRDefault="00827839">
            <w:pPr>
              <w:pStyle w:val="a3"/>
              <w:spacing w:before="0" w:beforeAutospacing="0" w:after="0" w:afterAutospacing="0"/>
              <w:rPr>
                <w:sz w:val="20"/>
                <w:szCs w:val="20"/>
              </w:rPr>
            </w:pPr>
            <w:r>
              <w:rPr>
                <w:sz w:val="20"/>
                <w:szCs w:val="20"/>
              </w:rPr>
              <w:t> </w:t>
            </w:r>
          </w:p>
        </w:tc>
        <w:tc>
          <w:tcPr>
            <w:tcW w:w="3130" w:type="pct"/>
            <w:hideMark/>
          </w:tcPr>
          <w:p w:rsidR="00000000" w:rsidRDefault="00827839">
            <w:pPr>
              <w:pStyle w:val="a3"/>
              <w:spacing w:before="0" w:beforeAutospacing="0" w:after="0" w:afterAutospacing="0"/>
              <w:rPr>
                <w:sz w:val="20"/>
                <w:szCs w:val="20"/>
              </w:rPr>
            </w:pPr>
            <w:r>
              <w:rPr>
                <w:sz w:val="20"/>
                <w:szCs w:val="20"/>
              </w:rPr>
              <w:t>Member of the Board of Supervisors</w:t>
            </w:r>
          </w:p>
        </w:tc>
      </w:tr>
    </w:tbl>
    <w:p w:rsidR="00000000" w:rsidRDefault="00827839">
      <w:pPr>
        <w:pStyle w:val="a3"/>
        <w:spacing w:before="240" w:beforeAutospacing="0" w:after="0" w:afterAutospacing="0"/>
        <w:ind w:firstLine="556"/>
        <w:jc w:val="both"/>
        <w:rPr>
          <w:sz w:val="20"/>
          <w:szCs w:val="20"/>
        </w:rPr>
      </w:pPr>
      <w:r>
        <w:rPr>
          <w:sz w:val="20"/>
          <w:szCs w:val="20"/>
        </w:rPr>
        <w:t>Mr. Stivala has served as our President since April 2014 and as our Chief Executive Officer since September 2014.  Mr. Stivala has served as a Supervisor since November 2014.  From November 2009 until March 2014 he was our Chief Financial Officer, and, bef</w:t>
      </w:r>
      <w:r>
        <w:rPr>
          <w:sz w:val="20"/>
          <w:szCs w:val="20"/>
        </w:rPr>
        <w:t>ore that, our Chief Financial Officer and Chief Accounting Officer since October 2007.  Prior to that he was our Controller and Chief Accounting Officer since May 2005 and Controller since December 2001.  Before joining the Partnership, he held several pos</w:t>
      </w:r>
      <w:r>
        <w:rPr>
          <w:sz w:val="20"/>
          <w:szCs w:val="20"/>
        </w:rPr>
        <w:t>itions with PricewaterhouseCoopers LLP, an international accounting firm, most recently as Senior Manager in the Assurance practice.</w:t>
      </w:r>
    </w:p>
    <w:p w:rsidR="00000000" w:rsidRDefault="00827839">
      <w:pPr>
        <w:pStyle w:val="a3"/>
        <w:spacing w:before="240" w:beforeAutospacing="0" w:after="0" w:afterAutospacing="0"/>
        <w:ind w:firstLine="556"/>
        <w:jc w:val="both"/>
        <w:rPr>
          <w:sz w:val="20"/>
          <w:szCs w:val="20"/>
        </w:rPr>
      </w:pPr>
      <w:r>
        <w:rPr>
          <w:sz w:val="20"/>
          <w:szCs w:val="20"/>
        </w:rPr>
        <w:t>Mr. Stivala’s qualifications to sit on our Board include his eighteen years of experience in the propane industry, includin</w:t>
      </w:r>
      <w:r>
        <w:rPr>
          <w:sz w:val="20"/>
          <w:szCs w:val="20"/>
        </w:rPr>
        <w:t>g as our current President and Chief Executive Officer and, before that, as our Chief Financial Officer for almost seven years, which day to day leadership roles have provided him with intimate knowledge of our operations.</w:t>
      </w:r>
    </w:p>
    <w:p w:rsidR="00000000" w:rsidRDefault="00827839">
      <w:pPr>
        <w:pStyle w:val="a3"/>
        <w:spacing w:before="240" w:beforeAutospacing="0" w:after="0" w:afterAutospacing="0"/>
        <w:ind w:firstLine="556"/>
        <w:jc w:val="both"/>
        <w:rPr>
          <w:sz w:val="20"/>
          <w:szCs w:val="20"/>
        </w:rPr>
      </w:pPr>
      <w:r>
        <w:rPr>
          <w:sz w:val="20"/>
          <w:szCs w:val="20"/>
        </w:rPr>
        <w:t>Mr. Kuglin has served as our Chie</w:t>
      </w:r>
      <w:r>
        <w:rPr>
          <w:sz w:val="20"/>
          <w:szCs w:val="20"/>
        </w:rPr>
        <w:t xml:space="preserve">f Financial Officer &amp; Chief Accounting Officer since September 2014 and was our Vice President – Finance and Chief Accounting Officer from April 2014 through September 2014.  Prior to that he served as our Vice President and Chief Accounting Officer since </w:t>
      </w:r>
      <w:r>
        <w:rPr>
          <w:sz w:val="20"/>
          <w:szCs w:val="20"/>
        </w:rPr>
        <w:t>November 2011, our Controller and Chief Accounting Officer since November 2009 and our Controller since October 2007.  For the eight years prior to joining the Partnership he held several financial and managerial positions with Alcatel-Lucent, a global com</w:t>
      </w:r>
      <w:r>
        <w:rPr>
          <w:sz w:val="20"/>
          <w:szCs w:val="20"/>
        </w:rPr>
        <w:t xml:space="preserve">munications solutions provider.  Prior to Alcatel-Lucent, Mr. Kuglin held several positions with the international accounting firm PricewaterhouseCoopers LLP, most recently as Manager in the Assurance practice.  Mr. Kuglin is a Certified Public Accountant </w:t>
      </w:r>
      <w:r>
        <w:rPr>
          <w:sz w:val="20"/>
          <w:szCs w:val="20"/>
        </w:rPr>
        <w:t>and a member of the American Institute of Certified Public Accountants.</w:t>
      </w:r>
    </w:p>
    <w:p w:rsidR="00000000" w:rsidRDefault="00827839">
      <w:pPr>
        <w:pStyle w:val="a3"/>
        <w:spacing w:before="240" w:beforeAutospacing="0" w:after="0" w:afterAutospacing="0"/>
        <w:ind w:firstLine="556"/>
        <w:jc w:val="both"/>
        <w:rPr>
          <w:sz w:val="20"/>
          <w:szCs w:val="20"/>
        </w:rPr>
      </w:pPr>
      <w:r>
        <w:rPr>
          <w:sz w:val="20"/>
          <w:szCs w:val="20"/>
        </w:rPr>
        <w:t>Mr. Boyd has served as our Chief Operating Officer since October 2017 and before that was our Senior Vice President – Operations (September 2015 – October 2017) and our Senior Vice Pre</w:t>
      </w:r>
      <w:r>
        <w:rPr>
          <w:sz w:val="20"/>
          <w:szCs w:val="20"/>
        </w:rPr>
        <w:t>sident – Field Operations since April 2014. Previously he was our Vice President – Field Operations (formerly Vice President – Operations) since October 2008, our Southeast and Western Area Vice President since March 2007, Managing Director – Area Operatio</w:t>
      </w:r>
      <w:r>
        <w:rPr>
          <w:sz w:val="20"/>
          <w:szCs w:val="20"/>
        </w:rPr>
        <w:t>ns since November 2003 and Regional Manager – Northern California since May 1997.  Mr. Boyd held various managerial positions with predecessors of the Partnership from 1986 through 1996.</w:t>
      </w:r>
    </w:p>
    <w:p w:rsidR="00000000" w:rsidRDefault="00827839">
      <w:pPr>
        <w:pStyle w:val="a3"/>
        <w:spacing w:before="240" w:beforeAutospacing="0" w:after="0" w:afterAutospacing="0"/>
        <w:ind w:firstLine="556"/>
        <w:jc w:val="both"/>
        <w:rPr>
          <w:sz w:val="20"/>
          <w:szCs w:val="20"/>
        </w:rPr>
      </w:pPr>
      <w:r>
        <w:rPr>
          <w:sz w:val="20"/>
          <w:szCs w:val="20"/>
        </w:rPr>
        <w:t>Mr. Brinkworth has served as our Senior Vice President – Product Supp</w:t>
      </w:r>
      <w:r>
        <w:rPr>
          <w:sz w:val="20"/>
          <w:szCs w:val="20"/>
        </w:rPr>
        <w:t>ly, Purchasing &amp; Logistics since April 2014 and was previously our Vice President – Product Supply (formerly Vice President – Supply) since May 2005. Mr. Brinkworth joined the Partnership in April 1997 after a nine year career with Goldman Sachs and, since</w:t>
      </w:r>
      <w:r>
        <w:rPr>
          <w:sz w:val="20"/>
          <w:szCs w:val="20"/>
        </w:rPr>
        <w:t xml:space="preserve"> joining the Partnership, has served in various positions in the product supply area.</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44</w:t>
      </w:r>
    </w:p>
    <w:p w:rsidR="00000000" w:rsidRDefault="00827839">
      <w:pPr>
        <w:rPr>
          <w:rFonts w:eastAsia="Times New Roman"/>
        </w:rPr>
      </w:pPr>
      <w:r>
        <w:rPr>
          <w:rFonts w:eastAsia="Times New Roman"/>
        </w:rPr>
        <w:pict>
          <v:rect id="_x0000_i107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 xml:space="preserve">Mr. Scanlon became our Senior Vice President – Information Services </w:t>
      </w:r>
      <w:r>
        <w:rPr>
          <w:sz w:val="20"/>
          <w:szCs w:val="20"/>
        </w:rPr>
        <w:t xml:space="preserve">in April 2014, after serving as our Vice President – Information Services since November 2008.  Prior to that he served as our Assistant Vice President – Information Services since November 2007, Managing Director – Information Services from November 2002 </w:t>
      </w:r>
      <w:r>
        <w:rPr>
          <w:sz w:val="20"/>
          <w:szCs w:val="20"/>
        </w:rPr>
        <w:t xml:space="preserve">to November 2007 and Director – Information Services from April 1997 until November 2002.  Prior to joining the Partnership, Mr. Scanlon spent several years with JP Morgan &amp; Co., most recently as Vice President – Corporate Systems and earlier held several </w:t>
      </w:r>
      <w:r>
        <w:rPr>
          <w:sz w:val="20"/>
          <w:szCs w:val="20"/>
        </w:rPr>
        <w:t>positions with Andersen Consulting, an international systems consulting firm, most recently as Manager.</w:t>
      </w:r>
    </w:p>
    <w:p w:rsidR="00000000" w:rsidRDefault="00827839">
      <w:pPr>
        <w:pStyle w:val="a3"/>
        <w:spacing w:before="240" w:beforeAutospacing="0" w:after="0" w:afterAutospacing="0"/>
        <w:ind w:firstLine="556"/>
        <w:jc w:val="both"/>
        <w:rPr>
          <w:sz w:val="20"/>
          <w:szCs w:val="20"/>
        </w:rPr>
      </w:pPr>
      <w:r>
        <w:rPr>
          <w:sz w:val="20"/>
          <w:szCs w:val="20"/>
        </w:rPr>
        <w:t>Mr. Bloomstein joined the Partnership as its Controller in April 2014 and was promoted to Vice President and Controller in October 2017.  For the ten ye</w:t>
      </w:r>
      <w:r>
        <w:rPr>
          <w:sz w:val="20"/>
          <w:szCs w:val="20"/>
        </w:rPr>
        <w:t>ars prior to joining the Partnership, he held several executive financial and accounting positions with The Access Group, a network of professional services companies, and with Dow Jones &amp; Company, Inc., a global news and financial information company.  Mr</w:t>
      </w:r>
      <w:r>
        <w:rPr>
          <w:sz w:val="20"/>
          <w:szCs w:val="20"/>
        </w:rPr>
        <w:t>. Bloomstein started his career with the international accounting firm PricewaterhouseCoopers LLP, working his way to the level of Manager in the Assurance practice.  Mr. Bloomstein is a Certified Public Accountant and a member of the American Institute of</w:t>
      </w:r>
      <w:r>
        <w:rPr>
          <w:sz w:val="20"/>
          <w:szCs w:val="20"/>
        </w:rPr>
        <w:t xml:space="preserve"> Certified Public Accountants.</w:t>
      </w:r>
    </w:p>
    <w:p w:rsidR="00000000" w:rsidRDefault="00827839">
      <w:pPr>
        <w:pStyle w:val="a3"/>
        <w:spacing w:before="240" w:beforeAutospacing="0" w:after="0" w:afterAutospacing="0"/>
        <w:ind w:firstLine="556"/>
        <w:jc w:val="both"/>
        <w:rPr>
          <w:sz w:val="20"/>
          <w:szCs w:val="20"/>
        </w:rPr>
      </w:pPr>
      <w:r>
        <w:rPr>
          <w:sz w:val="20"/>
          <w:szCs w:val="20"/>
        </w:rPr>
        <w:t xml:space="preserve">Mr. D’Ambrosio has served as our Treasurer since November 2002 and was promoted to Vice President in October 2007.  He served as our Assistant Treasurer from October 2000 to November 2002 and as Director of Treasury Services </w:t>
      </w:r>
      <w:r>
        <w:rPr>
          <w:sz w:val="20"/>
          <w:szCs w:val="20"/>
        </w:rPr>
        <w:t>from January 1998 to October 2000.  Mr. D’Ambrosio joined the Partnership in May 1996 after ten years in the commercial banking industry.</w:t>
      </w:r>
    </w:p>
    <w:p w:rsidR="00000000" w:rsidRDefault="00827839">
      <w:pPr>
        <w:pStyle w:val="a3"/>
        <w:spacing w:before="240" w:beforeAutospacing="0" w:after="0" w:afterAutospacing="0"/>
        <w:ind w:firstLine="556"/>
        <w:jc w:val="both"/>
        <w:rPr>
          <w:sz w:val="20"/>
          <w:szCs w:val="20"/>
        </w:rPr>
      </w:pPr>
      <w:r>
        <w:rPr>
          <w:sz w:val="20"/>
          <w:szCs w:val="20"/>
        </w:rPr>
        <w:t>Mr. Koepke became our Vice President – General Counsel and Secretary in October 2019, after serving as our Vice Presid</w:t>
      </w:r>
      <w:r>
        <w:rPr>
          <w:sz w:val="20"/>
          <w:szCs w:val="20"/>
        </w:rPr>
        <w:t>ent – Deputy General Counsel and Assistant Secretary since March 2019.  Prior to joining the Partnership, Mr. Koepke served several years as senior in-house legal counsel for Avis Budget Group, Inc. and Caterpillar Inc. and as a senior attorney for the U.S</w:t>
      </w:r>
      <w:r>
        <w:rPr>
          <w:sz w:val="20"/>
          <w:szCs w:val="20"/>
        </w:rPr>
        <w:t>. Securities and Exchange Commission.</w:t>
      </w:r>
    </w:p>
    <w:p w:rsidR="00000000" w:rsidRDefault="00827839">
      <w:pPr>
        <w:pStyle w:val="a3"/>
        <w:spacing w:before="240" w:beforeAutospacing="0" w:after="0" w:afterAutospacing="0"/>
        <w:ind w:firstLine="556"/>
        <w:jc w:val="both"/>
        <w:rPr>
          <w:sz w:val="20"/>
          <w:szCs w:val="20"/>
        </w:rPr>
      </w:pPr>
      <w:r>
        <w:rPr>
          <w:sz w:val="20"/>
          <w:szCs w:val="20"/>
        </w:rPr>
        <w:t>Mr. Onderdonk has served as our Vice President – Operational Support since November 2015 and before that was our Assistant Vice President – Financial Planning and Analysis since November 2013.  Prior to that, he served</w:t>
      </w:r>
      <w:r>
        <w:rPr>
          <w:sz w:val="20"/>
          <w:szCs w:val="20"/>
        </w:rPr>
        <w:t xml:space="preserve"> as our Managing Director, Financial Planning and Analysis from November 2010 to November 2013.  Mr. Onderdonk joined the Partnership in September 2001 after fourteen years in the consumer products industry.</w:t>
      </w:r>
    </w:p>
    <w:p w:rsidR="00000000" w:rsidRDefault="00827839">
      <w:pPr>
        <w:pStyle w:val="a3"/>
        <w:spacing w:before="240" w:beforeAutospacing="0" w:after="0" w:afterAutospacing="0"/>
        <w:ind w:firstLine="556"/>
        <w:jc w:val="both"/>
        <w:rPr>
          <w:sz w:val="20"/>
          <w:szCs w:val="20"/>
        </w:rPr>
      </w:pPr>
      <w:r>
        <w:rPr>
          <w:sz w:val="20"/>
          <w:szCs w:val="20"/>
        </w:rPr>
        <w:t xml:space="preserve">Mr. Schueler has served as our Vice President – </w:t>
      </w:r>
      <w:r>
        <w:rPr>
          <w:sz w:val="20"/>
          <w:szCs w:val="20"/>
        </w:rPr>
        <w:t>Product Supply since October 2017 and before that was our Managing Director – Product Supply since November 2013.  Mr. Schueler joined the Partnership as Director – Product Resources in July 2005 following a nine-year career at Public Service Enterprise Gr</w:t>
      </w:r>
      <w:r>
        <w:rPr>
          <w:sz w:val="20"/>
          <w:szCs w:val="20"/>
        </w:rPr>
        <w:t>oup and prior to that, eight years at Kraft Foods.</w:t>
      </w:r>
    </w:p>
    <w:p w:rsidR="00000000" w:rsidRDefault="00827839">
      <w:pPr>
        <w:pStyle w:val="a3"/>
        <w:spacing w:before="240" w:beforeAutospacing="0" w:after="0" w:afterAutospacing="0"/>
        <w:ind w:firstLine="556"/>
        <w:jc w:val="both"/>
        <w:rPr>
          <w:sz w:val="20"/>
          <w:szCs w:val="20"/>
        </w:rPr>
      </w:pPr>
      <w:r>
        <w:rPr>
          <w:sz w:val="20"/>
          <w:szCs w:val="20"/>
        </w:rPr>
        <w:t>Ms. Zwickel has served as our Vice President – Human Resources since November 2013.  Prior to that, she was our Assistant Vice President – Human Resources since April 2011 and earlier held several roles in</w:t>
      </w:r>
      <w:r>
        <w:rPr>
          <w:sz w:val="20"/>
          <w:szCs w:val="20"/>
        </w:rPr>
        <w:t xml:space="preserve"> the Partnership’s Legal Department (including Assistant General Counsel from October 2009 to April 2011 and Counsel from October 2002 to October 2009), where she was responsible for, among other things, providing legal counsel on employment issues.  Ms. Z</w:t>
      </w:r>
      <w:r>
        <w:rPr>
          <w:sz w:val="20"/>
          <w:szCs w:val="20"/>
        </w:rPr>
        <w:t>wickel joined the Partnership in June 1999 after eight years in the private practice of law.</w:t>
      </w:r>
    </w:p>
    <w:p w:rsidR="00000000" w:rsidRDefault="00827839">
      <w:pPr>
        <w:pStyle w:val="a3"/>
        <w:spacing w:before="240" w:beforeAutospacing="0" w:after="0" w:afterAutospacing="0"/>
        <w:ind w:firstLine="556"/>
        <w:jc w:val="both"/>
        <w:rPr>
          <w:sz w:val="20"/>
          <w:szCs w:val="20"/>
        </w:rPr>
      </w:pPr>
      <w:r>
        <w:rPr>
          <w:sz w:val="20"/>
          <w:szCs w:val="20"/>
        </w:rPr>
        <w:t>Mr. Logan has served as a Supervisor since March 1996 and was elected as Chairman of the Board of Supervisors in January 2007.  Mr. Logan co-founded, and from 2006</w:t>
      </w:r>
      <w:r>
        <w:rPr>
          <w:sz w:val="20"/>
          <w:szCs w:val="20"/>
        </w:rPr>
        <w:t xml:space="preserve"> to the present has been serving as a Director of, Basic Materials and Services LLC, an investment company that, until it went inactive in May 2018, invested in companies that provide specialized infrastructure services and materials for the pipeline const</w:t>
      </w:r>
      <w:r>
        <w:rPr>
          <w:sz w:val="20"/>
          <w:szCs w:val="20"/>
        </w:rPr>
        <w:t>ruction industry and the sand/silica industry.  From 2003 to September 2006, Mr. Logan was a Director and Chairman of the Finance Committee of the Board of Directors of TransMontaigne Inc., which provided logistical services (i.e. pipeline, terminaling and</w:t>
      </w:r>
      <w:r>
        <w:rPr>
          <w:sz w:val="20"/>
          <w:szCs w:val="20"/>
        </w:rPr>
        <w:t xml:space="preserve"> marketing) to producers and end-users of refined petroleum products.  From 1995 to 2002, Mr. Logan was Executive Vice President/Finance, Treasurer and a Director of TransMontaigne Inc.  From 1987 to 1995, Mr. Logan served as Senior Vice President – Financ</w:t>
      </w:r>
      <w:r>
        <w:rPr>
          <w:sz w:val="20"/>
          <w:szCs w:val="20"/>
        </w:rPr>
        <w:t>e and a Director of Associated Natural Gas Corporation, an independent gatherer and marketer of natural gas, natural gas liquids and crude oil.  Mr. Logan is also a Director of Cimarex Energy Co. and Hart Energy Publishing LLP, and, through May 2019, was a</w:t>
      </w:r>
      <w:r>
        <w:rPr>
          <w:sz w:val="20"/>
          <w:szCs w:val="20"/>
        </w:rPr>
        <w:t xml:space="preserve"> Director of InfraREIT, Inc. and through May 2017, was a Director of Graphic Packaging Holding Company.</w:t>
      </w:r>
    </w:p>
    <w:p w:rsidR="00000000" w:rsidRDefault="00827839">
      <w:pPr>
        <w:pStyle w:val="a3"/>
        <w:spacing w:before="240" w:beforeAutospacing="0" w:after="0" w:afterAutospacing="0"/>
        <w:ind w:firstLine="556"/>
        <w:jc w:val="both"/>
        <w:rPr>
          <w:sz w:val="20"/>
          <w:szCs w:val="20"/>
        </w:rPr>
      </w:pPr>
      <w:r>
        <w:rPr>
          <w:sz w:val="20"/>
          <w:szCs w:val="20"/>
        </w:rPr>
        <w:t>Over the past forty plus years, Mr. Logan’</w:t>
      </w:r>
      <w:r>
        <w:rPr>
          <w:sz w:val="20"/>
          <w:szCs w:val="20"/>
        </w:rPr>
        <w:t xml:space="preserve">s education, investment banking/venture capital experience and business/financial management experience have provided him with a comprehensive understanding of business and finance.  Most of Mr. Logan’s business experience has been in the energy industry, </w:t>
      </w:r>
      <w:r>
        <w:rPr>
          <w:sz w:val="20"/>
          <w:szCs w:val="20"/>
        </w:rPr>
        <w:t>both in investment banking and as a senior financial officer and director of publicly-owned energy companies.  Mr. Logan’s expertise and experience have been relevant to his responsibilities of providing oversight and advice to the managements of public co</w:t>
      </w:r>
      <w:r>
        <w:rPr>
          <w:sz w:val="20"/>
          <w:szCs w:val="20"/>
        </w:rPr>
        <w:t>mpanies, and is of particular benefit in his role as our Chairman. Since 1996, Mr. Logan has been a director of ten public companies and has served on audit, compensation and governance committees.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45</w:t>
      </w:r>
    </w:p>
    <w:p w:rsidR="00000000" w:rsidRDefault="00827839">
      <w:pPr>
        <w:rPr>
          <w:rFonts w:eastAsia="Times New Roman"/>
        </w:rPr>
      </w:pPr>
      <w:r>
        <w:rPr>
          <w:rFonts w:eastAsia="Times New Roman"/>
        </w:rPr>
        <w:pict>
          <v:rect id="_x0000_i107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Mr. Stookey has served as a Supervisor since March 1996.  He was Chairman of the Board of Supervisors from March 1996 through January 2007.  From 1986 until September 1993, he was the Chairman, President and Chie</w:t>
      </w:r>
      <w:r>
        <w:rPr>
          <w:sz w:val="20"/>
          <w:szCs w:val="20"/>
        </w:rPr>
        <w:t xml:space="preserve">f Executive Officer of Quantum Chemical Corporation, a predecessor of the Partnership.  He served as non-executive Chairman and a Director of Quantum from its acquisition by Hanson plc, a global diversified industrial conglomerate, in September 1993 until </w:t>
      </w:r>
      <w:r>
        <w:rPr>
          <w:sz w:val="20"/>
          <w:szCs w:val="20"/>
        </w:rPr>
        <w:t xml:space="preserve">October 1995, at which time he retired.  Since then, Mr. Stookey has served as a trustee of a number of non-profit organizations, including founding and serving as non-executive Chairman of Per Scholas Inc. (a non-profit organization dedicated to training </w:t>
      </w:r>
      <w:r>
        <w:rPr>
          <w:sz w:val="20"/>
          <w:szCs w:val="20"/>
        </w:rPr>
        <w:t>inner city individuals to become computer and software technicians), The Berkshire Choral Festival and also currently serves on the Board of Directors and Audit Committee of The Berkshire Taconic Community Foundation, the Board of Directors of The Clark Fo</w:t>
      </w:r>
      <w:r>
        <w:rPr>
          <w:sz w:val="20"/>
          <w:szCs w:val="20"/>
        </w:rPr>
        <w:t>undation and The Robert Sterling Clark Foundation and as a Life Trustee of the Boston Symphony Orchestra.</w:t>
      </w:r>
    </w:p>
    <w:p w:rsidR="00000000" w:rsidRDefault="00827839">
      <w:pPr>
        <w:pStyle w:val="a3"/>
        <w:spacing w:before="240" w:beforeAutospacing="0" w:after="0" w:afterAutospacing="0"/>
        <w:ind w:firstLine="556"/>
        <w:jc w:val="both"/>
        <w:rPr>
          <w:sz w:val="20"/>
          <w:szCs w:val="20"/>
        </w:rPr>
      </w:pPr>
      <w:r>
        <w:rPr>
          <w:sz w:val="20"/>
          <w:szCs w:val="20"/>
        </w:rPr>
        <w:t>Mr. Stookey’s qualifications to sit on our Board include his extensive experience as Chief Executive Officer of four corporations (including a predece</w:t>
      </w:r>
      <w:r>
        <w:rPr>
          <w:sz w:val="20"/>
          <w:szCs w:val="20"/>
        </w:rPr>
        <w:t>ssor of the Partnership) and his many years of service as a director of publicly-owned corporations and non-profit organizations.</w:t>
      </w:r>
    </w:p>
    <w:p w:rsidR="00000000" w:rsidRDefault="00827839">
      <w:pPr>
        <w:pStyle w:val="a3"/>
        <w:spacing w:before="240" w:beforeAutospacing="0" w:after="0" w:afterAutospacing="0"/>
        <w:ind w:firstLine="556"/>
        <w:jc w:val="both"/>
        <w:rPr>
          <w:sz w:val="20"/>
          <w:szCs w:val="20"/>
        </w:rPr>
      </w:pPr>
      <w:r>
        <w:rPr>
          <w:sz w:val="20"/>
          <w:szCs w:val="20"/>
        </w:rPr>
        <w:t>Ms. Swift has served as a Supervisor since April 2007.  In July 2019, Ms. Swift was appointed President and Executive Director</w:t>
      </w:r>
      <w:r>
        <w:rPr>
          <w:sz w:val="20"/>
          <w:szCs w:val="20"/>
        </w:rPr>
        <w:t xml:space="preserve"> of LearnLaunch Institute, a not-for-profit healthcare educational institution in Boston, Massachusetts.  From January 2018 through February 2019, Ms. Swift served as Executive Chair of Ultimate Medical Academy, a not-for-profit healthcare educational inst</w:t>
      </w:r>
      <w:r>
        <w:rPr>
          <w:sz w:val="20"/>
          <w:szCs w:val="20"/>
        </w:rPr>
        <w:t>itution with a national presence.  From August 2011 through April 2017, Ms. Swift served as the CEO of Middlebury Interactive Languages, LLC, a marketer of world language products.  From 2010 through July 2011, she served as Senior Vice President – Connect</w:t>
      </w:r>
      <w:r>
        <w:rPr>
          <w:sz w:val="20"/>
          <w:szCs w:val="20"/>
        </w:rPr>
        <w:t>EDU Inc., a private education technology company.  In 2007, Ms. Swift founded WNP Consulting, LLC, a provider of expert advice and guidance to early stage education companies.  From 2003 to 2006 she was a General Partner at Arcadia Partners, a venture capi</w:t>
      </w:r>
      <w:r>
        <w:rPr>
          <w:sz w:val="20"/>
          <w:szCs w:val="20"/>
        </w:rPr>
        <w:t xml:space="preserve">tal firm focused on the education industry. Ms. Swift also provides consulting services to various clients, including Whiteboard Advisors, a leading education research, consulting and communications firm in the United States.  She has previously served on </w:t>
      </w:r>
      <w:r>
        <w:rPr>
          <w:sz w:val="20"/>
          <w:szCs w:val="20"/>
        </w:rPr>
        <w:t>the boards of K12, Inc., Animated Speech Company, The Young Writers Project, Sally Ride Science Inc., Teachers of Tomorrow and eDynamics Learning. Ms. Swift currently serves on several not-for-profit boards and advisory boards, including School of Leadersh</w:t>
      </w:r>
      <w:r>
        <w:rPr>
          <w:sz w:val="20"/>
          <w:szCs w:val="20"/>
        </w:rPr>
        <w:t xml:space="preserve">ip Afghanistan; Vote, Run, Lead, and Academic Programs International and also currently serves on the Board of Directors for Climb Credit, Inc., a financer of post-secondary education programs.  Prior to joining Arcadia, Ms. Swift served for fifteen years </w:t>
      </w:r>
      <w:r>
        <w:rPr>
          <w:sz w:val="20"/>
          <w:szCs w:val="20"/>
        </w:rPr>
        <w:t>in Massachusetts state government, becoming Massachusetts’ first woman governor in 2001.</w:t>
      </w:r>
    </w:p>
    <w:p w:rsidR="00000000" w:rsidRDefault="00827839">
      <w:pPr>
        <w:pStyle w:val="a3"/>
        <w:spacing w:before="240" w:beforeAutospacing="0" w:after="0" w:afterAutospacing="0"/>
        <w:ind w:firstLine="556"/>
        <w:jc w:val="both"/>
        <w:rPr>
          <w:sz w:val="20"/>
          <w:szCs w:val="20"/>
        </w:rPr>
      </w:pPr>
      <w:r>
        <w:rPr>
          <w:sz w:val="20"/>
          <w:szCs w:val="20"/>
        </w:rPr>
        <w:t>Ms. Swift’s qualifications to sit on our Board include her strong skills in public policy and government relations and her extensive knowledge of regulatory matters ar</w:t>
      </w:r>
      <w:r>
        <w:rPr>
          <w:sz w:val="20"/>
          <w:szCs w:val="20"/>
        </w:rPr>
        <w:t>ising from her fifteen years in state government.</w:t>
      </w:r>
    </w:p>
    <w:p w:rsidR="00000000" w:rsidRDefault="00827839">
      <w:pPr>
        <w:pStyle w:val="a3"/>
        <w:spacing w:before="240" w:beforeAutospacing="0" w:after="0" w:afterAutospacing="0"/>
        <w:ind w:firstLine="556"/>
        <w:jc w:val="both"/>
        <w:rPr>
          <w:sz w:val="20"/>
          <w:szCs w:val="20"/>
        </w:rPr>
      </w:pPr>
      <w:r>
        <w:rPr>
          <w:sz w:val="20"/>
          <w:szCs w:val="20"/>
        </w:rPr>
        <w:t>Mr. Caldwell has served as a Supervisor since November 2012. He was a Co-Founder of New Canaan Investments, Inc. (“NCI”), a private equity investment firm, where he was one of three senior officers of the f</w:t>
      </w:r>
      <w:r>
        <w:rPr>
          <w:sz w:val="20"/>
          <w:szCs w:val="20"/>
        </w:rPr>
        <w:t>irm from 1988 to 2005. NCI was an active “fix and build” investor in packaging, chemicals, and automotive components companies. Mr. Caldwell held a number of board directorships and senior management positions in these companies until he retired in 2005. T</w:t>
      </w:r>
      <w:r>
        <w:rPr>
          <w:sz w:val="20"/>
          <w:szCs w:val="20"/>
        </w:rPr>
        <w:t>he largest of these companies was Kerr Group, Inc., a plastic closure and bottle company where Mr. Caldwell served as Director for eight years and Chief Financial Officer for six years. From 1985 to 1988, Mr. Caldwell was head of acquisitions for Moore McC</w:t>
      </w:r>
      <w:r>
        <w:rPr>
          <w:sz w:val="20"/>
          <w:szCs w:val="20"/>
        </w:rPr>
        <w:t>ormack Resources, Inc., an oil and gas exploration, shipping, and construction materials company. Mr. Caldwell also currently serves on the Board of Trustees and as Chairman of the Investment and Finance Committee of Historic Deerfield, and on the Board of</w:t>
      </w:r>
      <w:r>
        <w:rPr>
          <w:sz w:val="20"/>
          <w:szCs w:val="20"/>
        </w:rPr>
        <w:t xml:space="preserve"> Directors and as Chairman of the Finance Committee of the Leventhal Map Center; both of which non-profit institutions focus on enriching educational programs for K-12 children locally and nationwide.</w:t>
      </w:r>
    </w:p>
    <w:p w:rsidR="00000000" w:rsidRDefault="00827839">
      <w:pPr>
        <w:pStyle w:val="a3"/>
        <w:spacing w:before="240" w:beforeAutospacing="0" w:after="0" w:afterAutospacing="0"/>
        <w:ind w:firstLine="556"/>
        <w:jc w:val="both"/>
        <w:rPr>
          <w:sz w:val="20"/>
          <w:szCs w:val="20"/>
        </w:rPr>
      </w:pPr>
      <w:r>
        <w:rPr>
          <w:sz w:val="20"/>
          <w:szCs w:val="20"/>
        </w:rPr>
        <w:t>Mr. Caldwell's qualifications to sit on our Board inclu</w:t>
      </w:r>
      <w:r>
        <w:rPr>
          <w:sz w:val="20"/>
          <w:szCs w:val="20"/>
        </w:rPr>
        <w:t>de over forty years of successful investing in and managing of a broad range of public and private businesses in a number of different industries. This experience has encompassed both turnaround situations, and the building of companies through internal gr</w:t>
      </w:r>
      <w:r>
        <w:rPr>
          <w:sz w:val="20"/>
          <w:szCs w:val="20"/>
        </w:rPr>
        <w:t>owth and acquisitions.</w:t>
      </w:r>
    </w:p>
    <w:p w:rsidR="00000000" w:rsidRDefault="00827839">
      <w:pPr>
        <w:pStyle w:val="a3"/>
        <w:spacing w:before="240" w:beforeAutospacing="0" w:after="0" w:afterAutospacing="0"/>
        <w:ind w:firstLine="556"/>
        <w:jc w:val="both"/>
        <w:rPr>
          <w:sz w:val="20"/>
          <w:szCs w:val="20"/>
        </w:rPr>
      </w:pPr>
      <w:r>
        <w:rPr>
          <w:sz w:val="20"/>
          <w:szCs w:val="20"/>
        </w:rPr>
        <w:t>Mr. Chanin has served as a Supervisor since November 2012. He was Senior Managing Director of Prudential Investment Management, a subsidiary of Prudential Financial, Inc., from 1996 until his retirement in January 2012, after which h</w:t>
      </w:r>
      <w:r>
        <w:rPr>
          <w:sz w:val="20"/>
          <w:szCs w:val="20"/>
        </w:rPr>
        <w:t>e continued to provide consulting services to Prudential until December 2016.  He headed Prudential’s private fixed income business, chaired an internal committee responsible for strategic investing and was a principal in Prudential Capital Partners, the f</w:t>
      </w:r>
      <w:r>
        <w:rPr>
          <w:sz w:val="20"/>
          <w:szCs w:val="20"/>
        </w:rPr>
        <w:t>irm’s mezzanine investment business.  He currently provides consulting services to two clients, and, until October 2017, served as a Director of two private companies that were in Prudential Capital Partners funds’ portfolios.</w:t>
      </w:r>
    </w:p>
    <w:p w:rsidR="00000000" w:rsidRDefault="00827839">
      <w:pPr>
        <w:pStyle w:val="a3"/>
        <w:spacing w:before="240" w:beforeAutospacing="0" w:after="0" w:afterAutospacing="0"/>
        <w:ind w:firstLine="556"/>
        <w:jc w:val="both"/>
        <w:rPr>
          <w:sz w:val="20"/>
          <w:szCs w:val="20"/>
        </w:rPr>
      </w:pPr>
      <w:r>
        <w:rPr>
          <w:sz w:val="20"/>
          <w:szCs w:val="20"/>
        </w:rPr>
        <w:t>Mr. Chanin’s qualifications t</w:t>
      </w:r>
      <w:r>
        <w:rPr>
          <w:sz w:val="20"/>
          <w:szCs w:val="20"/>
        </w:rPr>
        <w:t xml:space="preserve">o sit on our Board include 35 years of investment experience with a focus on highly structured private placements in companies in a broad range of industries, with a particular focus on energy companies.  He has previously served on the audit committee of </w:t>
      </w:r>
      <w:r>
        <w:rPr>
          <w:sz w:val="20"/>
          <w:szCs w:val="20"/>
        </w:rPr>
        <w:t>a public company board and the compensation committee for a private company board.  Mr. Chanin has earned an MBA and is a Chartered Financial Analyst.</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46</w:t>
      </w:r>
    </w:p>
    <w:p w:rsidR="00000000" w:rsidRDefault="00827839">
      <w:pPr>
        <w:rPr>
          <w:rFonts w:eastAsia="Times New Roman"/>
        </w:rPr>
      </w:pPr>
      <w:r>
        <w:rPr>
          <w:rFonts w:eastAsia="Times New Roman"/>
        </w:rPr>
        <w:pict>
          <v:rect id="_x0000_i107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 xml:space="preserve">Mr. </w:t>
      </w:r>
      <w:r>
        <w:rPr>
          <w:sz w:val="20"/>
          <w:szCs w:val="20"/>
        </w:rPr>
        <w:t>Connors has served as a Supervisor since January 2017.  Mr. Connors retired in September 2015 from KPMG LLP after nearly forty years in public accounting. Prior to joining KPMG in 2002 he was a partner with another large international accounting firm. Duri</w:t>
      </w:r>
      <w:r>
        <w:rPr>
          <w:sz w:val="20"/>
          <w:szCs w:val="20"/>
        </w:rPr>
        <w:t>ng his career, he served as a senior audit and global lead partner for numerous public companies, including Fortune 500 companies. At KPMG he was a professional practice partner, SEC Reviewing Partner and was elected to serve as a member of KPMG’s board of</w:t>
      </w:r>
      <w:r>
        <w:rPr>
          <w:sz w:val="20"/>
          <w:szCs w:val="20"/>
        </w:rPr>
        <w:t xml:space="preserve"> directors (2011-2015), where he chaired the Audit, Finance &amp; Operations Committee. Mr. Connors currently serves as a director and audit committee chairman of FS Credit Real Estate Income Trust, Inc., a commercial mortgage nontraded real estate investment </w:t>
      </w:r>
      <w:r>
        <w:rPr>
          <w:sz w:val="20"/>
          <w:szCs w:val="20"/>
        </w:rPr>
        <w:t>trust, and Adapt Health Corp., a leading provider of home healthcare equipment and services in the United States.  He previously served as a director and audit committee chairman of Cardone Industries, Inc., one of the largest privately-held automotive par</w:t>
      </w:r>
      <w:r>
        <w:rPr>
          <w:sz w:val="20"/>
          <w:szCs w:val="20"/>
        </w:rPr>
        <w:t>ts remanufacturers in the world. Mr. Connors also serves as a trustee of St. Joseph’s Preparatory School in Philadelphia.</w:t>
      </w:r>
    </w:p>
    <w:p w:rsidR="00000000" w:rsidRDefault="00827839">
      <w:pPr>
        <w:pStyle w:val="a3"/>
        <w:spacing w:before="240" w:beforeAutospacing="0" w:after="0" w:afterAutospacing="0"/>
        <w:ind w:firstLine="556"/>
        <w:jc w:val="both"/>
        <w:rPr>
          <w:sz w:val="20"/>
          <w:szCs w:val="20"/>
        </w:rPr>
      </w:pPr>
      <w:r>
        <w:rPr>
          <w:sz w:val="20"/>
          <w:szCs w:val="20"/>
        </w:rPr>
        <w:t>Mr. Connors’ qualifications to sit on our Board, and serve as Chairman of its Audit Committee, include his extensive experience as a l</w:t>
      </w:r>
      <w:r>
        <w:rPr>
          <w:sz w:val="20"/>
          <w:szCs w:val="20"/>
        </w:rPr>
        <w:t>ead audit partner for numerous public companies across a variety of industries, which enables him to provide helpful insights to the Board in connection with its oversight of financial, accounting and internal control matters.</w:t>
      </w:r>
    </w:p>
    <w:p w:rsidR="00000000" w:rsidRDefault="00827839">
      <w:pPr>
        <w:pStyle w:val="a3"/>
        <w:spacing w:before="240" w:beforeAutospacing="0" w:after="0" w:afterAutospacing="0"/>
        <w:ind w:firstLine="556"/>
        <w:jc w:val="both"/>
        <w:rPr>
          <w:sz w:val="20"/>
          <w:szCs w:val="20"/>
        </w:rPr>
      </w:pPr>
      <w:r>
        <w:rPr>
          <w:sz w:val="20"/>
          <w:szCs w:val="20"/>
        </w:rPr>
        <w:t>Mr. Landuyt has served as a S</w:t>
      </w:r>
      <w:r>
        <w:rPr>
          <w:sz w:val="20"/>
          <w:szCs w:val="20"/>
        </w:rPr>
        <w:t>upervisor since January 1, 2017.  Since 2003, Mr. Landuyt has served as a Managing Director at Charterhouse Strategic Partners, LLC, and its predecessors (“Charterhouse”), private equity firms with a focus on build-ups, management buyouts, and growth capit</w:t>
      </w:r>
      <w:r>
        <w:rPr>
          <w:sz w:val="20"/>
          <w:szCs w:val="20"/>
        </w:rPr>
        <w:t>al investments primarily in the business services and healthcare services sectors, and has served on the Boards of Directors of a number of portfolio companies of those firms.  From 1996 to 2003, Mr. Landuyt served as Chairman of the Board, President and C</w:t>
      </w:r>
      <w:r>
        <w:rPr>
          <w:sz w:val="20"/>
          <w:szCs w:val="20"/>
        </w:rPr>
        <w:t>hief Executive Officer of Millennium Chemicals, Inc. (“Millennium”), and from 1983 to 1996 he served in several senior executive positions with Hanson Industries (“Hanson,” the US subsidiary of Hanson plc), including Vice President and Chief Financial Offi</w:t>
      </w:r>
      <w:r>
        <w:rPr>
          <w:sz w:val="20"/>
          <w:szCs w:val="20"/>
        </w:rPr>
        <w:t>cer and ultimately Director, President and Chief Executive Officer.  Hanson and Millennium were both previous owners of the Partnership or its predecessor through 1996 and 1999, respectively.  He joined Hanson after spending six years as a Certified Public</w:t>
      </w:r>
      <w:r>
        <w:rPr>
          <w:sz w:val="20"/>
          <w:szCs w:val="20"/>
        </w:rPr>
        <w:t xml:space="preserve"> Accountant and auditor at Price Waterhouse &amp; Co., where he rose to the position of Senior Manager.  Mr. Landuyt has previously served on the Boards of Directors (including their Audit and Compensation Committees) of public companies, including Bethlehem S</w:t>
      </w:r>
      <w:r>
        <w:rPr>
          <w:sz w:val="20"/>
          <w:szCs w:val="20"/>
        </w:rPr>
        <w:t>teel Corp., MxEnergy Holdings, Inc., a leading retail marketer of natural gas and electricity contracts, and Top Image Systems, Inc. Mr. Landuyt is also the Co-Founder and Executive Director of Celtic Charms, Inc., a non-profit therapeutic horsemanship cen</w:t>
      </w:r>
      <w:r>
        <w:rPr>
          <w:sz w:val="20"/>
          <w:szCs w:val="20"/>
        </w:rPr>
        <w:t>ter serving people with physical and cognitive disabilities and disorders.</w:t>
      </w:r>
    </w:p>
    <w:p w:rsidR="00000000" w:rsidRDefault="00827839">
      <w:pPr>
        <w:pStyle w:val="a3"/>
        <w:spacing w:before="240" w:beforeAutospacing="0" w:after="0" w:afterAutospacing="0"/>
        <w:ind w:firstLine="556"/>
        <w:jc w:val="both"/>
        <w:rPr>
          <w:sz w:val="20"/>
          <w:szCs w:val="20"/>
        </w:rPr>
      </w:pPr>
      <w:r>
        <w:rPr>
          <w:sz w:val="20"/>
          <w:szCs w:val="20"/>
        </w:rPr>
        <w:t>Mr. Landuyt’s qualifications to sit on our Board include forty years of financial and executive management experience for both public and private companies, including extensive expe</w:t>
      </w:r>
      <w:r>
        <w:rPr>
          <w:sz w:val="20"/>
          <w:szCs w:val="20"/>
        </w:rPr>
        <w:t>rience with mergers and acquisitions and corporate governance.  Additionally, his specific responsibility for supervision of the Partnership’s predecessors, as well as his subsequent board-level involvement in the distribution, petrochemical and retail ene</w:t>
      </w:r>
      <w:r>
        <w:rPr>
          <w:sz w:val="20"/>
          <w:szCs w:val="20"/>
        </w:rPr>
        <w:t>rgy sectors through Charterhouse’s investments in those sectors, gives Mr. Landuyt extensive expertise in areas directly relevant to the business of the Partnership.</w:t>
      </w:r>
    </w:p>
    <w:p w:rsidR="00000000" w:rsidRDefault="00827839">
      <w:pPr>
        <w:pStyle w:val="a3"/>
        <w:spacing w:before="360" w:beforeAutospacing="0" w:after="0" w:afterAutospacing="0"/>
        <w:jc w:val="both"/>
        <w:rPr>
          <w:b/>
          <w:bCs/>
          <w:sz w:val="20"/>
          <w:szCs w:val="20"/>
        </w:rPr>
      </w:pPr>
      <w:r>
        <w:rPr>
          <w:b/>
          <w:bCs/>
          <w:sz w:val="20"/>
          <w:szCs w:val="20"/>
        </w:rPr>
        <w:t>Delinquent Section 16(a) Reports</w:t>
      </w:r>
    </w:p>
    <w:p w:rsidR="00000000" w:rsidRDefault="00827839">
      <w:pPr>
        <w:pStyle w:val="a3"/>
        <w:spacing w:before="120" w:beforeAutospacing="0" w:after="0" w:afterAutospacing="0"/>
        <w:ind w:firstLine="556"/>
        <w:jc w:val="both"/>
        <w:rPr>
          <w:sz w:val="20"/>
          <w:szCs w:val="20"/>
        </w:rPr>
      </w:pPr>
      <w:r>
        <w:rPr>
          <w:sz w:val="20"/>
          <w:szCs w:val="20"/>
        </w:rPr>
        <w:t>Section 16(a) of the Exchange Act requires our Supervisors, executive officers and holders of ten percent or more of our Common Units to file initial reports of ownership and reports of changes in ownership of our Common Units with the SEC.  Supervisors, e</w:t>
      </w:r>
      <w:r>
        <w:rPr>
          <w:sz w:val="20"/>
          <w:szCs w:val="20"/>
        </w:rPr>
        <w:t>xecutive officers and ten percent Unitholders are required to furnish the Partnership with copies of all Section 16(a) forms that they file.  Based on a review of these filings, we believe that all such filings were timely made during fiscal year 2019, exc</w:t>
      </w:r>
      <w:r>
        <w:rPr>
          <w:sz w:val="20"/>
          <w:szCs w:val="20"/>
        </w:rPr>
        <w:t>ept as follows: Michael A. Schueler, Vice President – Product Supply, two reports covering six transactions.  On November 20, 2019, we filed a Form 5 with the SEC for these transactions.</w:t>
      </w:r>
    </w:p>
    <w:p w:rsidR="00000000" w:rsidRDefault="00827839">
      <w:pPr>
        <w:pStyle w:val="a3"/>
        <w:spacing w:before="360" w:beforeAutospacing="0" w:after="0" w:afterAutospacing="0"/>
        <w:jc w:val="both"/>
        <w:rPr>
          <w:b/>
          <w:bCs/>
          <w:sz w:val="20"/>
          <w:szCs w:val="20"/>
        </w:rPr>
      </w:pPr>
      <w:r>
        <w:rPr>
          <w:b/>
          <w:bCs/>
          <w:sz w:val="20"/>
          <w:szCs w:val="20"/>
        </w:rPr>
        <w:t>Codes of Ethics and of Business Conduct</w:t>
      </w:r>
    </w:p>
    <w:p w:rsidR="00000000" w:rsidRDefault="00827839">
      <w:pPr>
        <w:pStyle w:val="a3"/>
        <w:spacing w:before="120" w:beforeAutospacing="0" w:after="0" w:afterAutospacing="0"/>
        <w:ind w:firstLine="556"/>
        <w:jc w:val="both"/>
        <w:rPr>
          <w:sz w:val="20"/>
          <w:szCs w:val="20"/>
        </w:rPr>
      </w:pPr>
      <w:r>
        <w:rPr>
          <w:sz w:val="20"/>
          <w:szCs w:val="20"/>
        </w:rPr>
        <w:t>We have adopted a Code of Eth</w:t>
      </w:r>
      <w:r>
        <w:rPr>
          <w:sz w:val="20"/>
          <w:szCs w:val="20"/>
        </w:rPr>
        <w:t xml:space="preserve">ics that applies to our principal executive officer, principal financial officer and principal accounting officer, and a Code of Business Conduct that applies to all of our employees, officers and Supervisors.  A copy of our Code of Ethics and our Code of </w:t>
      </w:r>
      <w:r>
        <w:rPr>
          <w:sz w:val="20"/>
          <w:szCs w:val="20"/>
        </w:rPr>
        <w:t xml:space="preserve">Business Conduct is available without charge from our website at </w:t>
      </w:r>
      <w:r>
        <w:rPr>
          <w:sz w:val="20"/>
          <w:szCs w:val="20"/>
          <w:u w:val="single"/>
        </w:rPr>
        <w:t>www.suburbanpropane.com</w:t>
      </w:r>
      <w:r>
        <w:rPr>
          <w:sz w:val="20"/>
          <w:szCs w:val="20"/>
        </w:rPr>
        <w:t xml:space="preserve"> or upon written request directed to:  Suburban Propane Partners, L.P., Investor Relations, P.O. Box 206, Whippany, New Jersey 07981-0206.  Any amendments to, or waiver</w:t>
      </w:r>
      <w:r>
        <w:rPr>
          <w:sz w:val="20"/>
          <w:szCs w:val="20"/>
        </w:rPr>
        <w:t>s from, provisions of our Code of Ethics or our Code of Business Conduct will be posted on our website.</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47</w:t>
      </w:r>
    </w:p>
    <w:p w:rsidR="00000000" w:rsidRDefault="00827839">
      <w:pPr>
        <w:rPr>
          <w:rFonts w:eastAsia="Times New Roman"/>
        </w:rPr>
      </w:pPr>
      <w:r>
        <w:rPr>
          <w:rFonts w:eastAsia="Times New Roman"/>
        </w:rPr>
        <w:pict>
          <v:rect id="_x0000_i107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sz w:val="20"/>
          <w:szCs w:val="20"/>
        </w:rPr>
      </w:pPr>
      <w:r>
        <w:rPr>
          <w:b/>
          <w:bCs/>
          <w:sz w:val="20"/>
          <w:szCs w:val="20"/>
        </w:rPr>
        <w:t>Corporate Governance Guidelines</w:t>
      </w:r>
    </w:p>
    <w:p w:rsidR="00000000" w:rsidRDefault="00827839">
      <w:pPr>
        <w:pStyle w:val="a3"/>
        <w:spacing w:before="120" w:beforeAutospacing="0" w:after="0" w:afterAutospacing="0"/>
        <w:ind w:firstLine="556"/>
        <w:jc w:val="both"/>
        <w:rPr>
          <w:sz w:val="20"/>
          <w:szCs w:val="20"/>
        </w:rPr>
      </w:pPr>
      <w:r>
        <w:rPr>
          <w:sz w:val="20"/>
          <w:szCs w:val="20"/>
        </w:rPr>
        <w:t>We have adopted Co</w:t>
      </w:r>
      <w:r>
        <w:rPr>
          <w:sz w:val="20"/>
          <w:szCs w:val="20"/>
        </w:rPr>
        <w:t>rporate Governance Guidelines and Principles in accordance with the NYSE corporate governance listing standards in effect as of the date of this Annual Report.  In addition, we have adopted certain Corporate Governance Policies, including an Equity Holding</w:t>
      </w:r>
      <w:r>
        <w:rPr>
          <w:sz w:val="20"/>
          <w:szCs w:val="20"/>
        </w:rPr>
        <w:t xml:space="preserve"> Policy for Supervisors and Executives and an Incentive Compensation Recoupment Policy.  A copy of our Corporate Governance Guidelines and Principles, as well as a copy of the Corporate Governance Policies, is available without charge from our website at </w:t>
      </w:r>
      <w:r>
        <w:rPr>
          <w:sz w:val="20"/>
          <w:szCs w:val="20"/>
          <w:u w:val="single"/>
        </w:rPr>
        <w:t>w</w:t>
      </w:r>
      <w:r>
        <w:rPr>
          <w:sz w:val="20"/>
          <w:szCs w:val="20"/>
          <w:u w:val="single"/>
        </w:rPr>
        <w:t>ww.suburbanpropane.com</w:t>
      </w:r>
      <w:r>
        <w:rPr>
          <w:sz w:val="20"/>
          <w:szCs w:val="20"/>
        </w:rPr>
        <w:t xml:space="preserve"> or upon written request directed to:  Suburban Propane Partners, L.P., Investor Relations, P.O. Box 206, Whippany, New Jersey 07981-0206.</w:t>
      </w:r>
    </w:p>
    <w:p w:rsidR="00000000" w:rsidRDefault="00827839">
      <w:pPr>
        <w:pStyle w:val="a3"/>
        <w:spacing w:before="360" w:beforeAutospacing="0" w:after="0" w:afterAutospacing="0"/>
        <w:jc w:val="both"/>
        <w:rPr>
          <w:b/>
          <w:bCs/>
          <w:sz w:val="20"/>
          <w:szCs w:val="20"/>
        </w:rPr>
      </w:pPr>
      <w:r>
        <w:rPr>
          <w:b/>
          <w:bCs/>
          <w:sz w:val="20"/>
          <w:szCs w:val="20"/>
        </w:rPr>
        <w:t>Audit Committee Charter</w:t>
      </w:r>
    </w:p>
    <w:p w:rsidR="00000000" w:rsidRDefault="00827839">
      <w:pPr>
        <w:pStyle w:val="a3"/>
        <w:spacing w:before="120" w:beforeAutospacing="0" w:after="0" w:afterAutospacing="0"/>
        <w:ind w:firstLine="556"/>
        <w:jc w:val="both"/>
        <w:rPr>
          <w:sz w:val="20"/>
          <w:szCs w:val="20"/>
        </w:rPr>
      </w:pPr>
      <w:r>
        <w:rPr>
          <w:sz w:val="20"/>
          <w:szCs w:val="20"/>
        </w:rPr>
        <w:t>We have adopted a written Audit Committee Charter in accordance with the NYSE corporate governance listing standards in effect as of the date of this Annual Report.  The Audit Committee Charter is reviewed periodically to ensure that it meets all applicabl</w:t>
      </w:r>
      <w:r>
        <w:rPr>
          <w:sz w:val="20"/>
          <w:szCs w:val="20"/>
        </w:rPr>
        <w:t xml:space="preserve">e legal and NYSE listing requirements.  A copy of our Audit Committee Charter is available without charge from our website at </w:t>
      </w:r>
      <w:r>
        <w:rPr>
          <w:sz w:val="20"/>
          <w:szCs w:val="20"/>
          <w:u w:val="single"/>
        </w:rPr>
        <w:t>www.suburbanpropane.com</w:t>
      </w:r>
      <w:r>
        <w:rPr>
          <w:sz w:val="20"/>
          <w:szCs w:val="20"/>
        </w:rPr>
        <w:t xml:space="preserve"> or upon written request directed to:  Suburban Propane Partners, L.P., Investor Relations, P.O. Box 206, W</w:t>
      </w:r>
      <w:r>
        <w:rPr>
          <w:sz w:val="20"/>
          <w:szCs w:val="20"/>
        </w:rPr>
        <w:t>hippany, New Jersey 07981-0206.</w:t>
      </w:r>
    </w:p>
    <w:p w:rsidR="00000000" w:rsidRDefault="00827839">
      <w:pPr>
        <w:pStyle w:val="a3"/>
        <w:spacing w:before="360" w:beforeAutospacing="0" w:after="0" w:afterAutospacing="0"/>
        <w:jc w:val="both"/>
        <w:rPr>
          <w:b/>
          <w:bCs/>
          <w:sz w:val="20"/>
          <w:szCs w:val="20"/>
        </w:rPr>
      </w:pPr>
      <w:r>
        <w:rPr>
          <w:b/>
          <w:bCs/>
          <w:sz w:val="20"/>
          <w:szCs w:val="20"/>
        </w:rPr>
        <w:t>Compensation Committee Charter</w:t>
      </w:r>
    </w:p>
    <w:p w:rsidR="00000000" w:rsidRDefault="00827839">
      <w:pPr>
        <w:pStyle w:val="a3"/>
        <w:spacing w:before="120" w:beforeAutospacing="0" w:after="0" w:afterAutospacing="0"/>
        <w:ind w:firstLine="556"/>
        <w:jc w:val="both"/>
        <w:rPr>
          <w:sz w:val="20"/>
          <w:szCs w:val="20"/>
        </w:rPr>
      </w:pPr>
      <w:r>
        <w:rPr>
          <w:sz w:val="20"/>
          <w:szCs w:val="20"/>
        </w:rPr>
        <w:t>Three Supervisors, who are not officers or employees of the Partnership or its subsidiaries, currently serve on the Compensation Committee.  The Board of Supervisors has determined that all thr</w:t>
      </w:r>
      <w:r>
        <w:rPr>
          <w:sz w:val="20"/>
          <w:szCs w:val="20"/>
        </w:rPr>
        <w:t>ee current members of the Compensation Committee, Matthew J. Chanin, Harold R. Logan, Jr. and John Hoyt Stookey, are independent.</w:t>
      </w:r>
    </w:p>
    <w:p w:rsidR="00000000" w:rsidRDefault="00827839">
      <w:pPr>
        <w:pStyle w:val="a3"/>
        <w:spacing w:before="240" w:beforeAutospacing="0" w:after="0" w:afterAutospacing="0"/>
        <w:ind w:firstLine="556"/>
        <w:jc w:val="both"/>
        <w:rPr>
          <w:sz w:val="20"/>
          <w:szCs w:val="20"/>
        </w:rPr>
      </w:pPr>
      <w:r>
        <w:rPr>
          <w:sz w:val="20"/>
          <w:szCs w:val="20"/>
        </w:rPr>
        <w:t xml:space="preserve">We have adopted a Compensation Committee Charter in accordance with the NYSE corporate governance listing standards in effect </w:t>
      </w:r>
      <w:r>
        <w:rPr>
          <w:sz w:val="20"/>
          <w:szCs w:val="20"/>
        </w:rPr>
        <w:t xml:space="preserve">as of the date of this Annual Report.  A copy of our Compensation Committee Charter is available without charge from our website at </w:t>
      </w:r>
      <w:r>
        <w:rPr>
          <w:sz w:val="20"/>
          <w:szCs w:val="20"/>
          <w:u w:val="single"/>
        </w:rPr>
        <w:t>www.suburbanpropane.com</w:t>
      </w:r>
      <w:r>
        <w:rPr>
          <w:sz w:val="20"/>
          <w:szCs w:val="20"/>
        </w:rPr>
        <w:t xml:space="preserve"> or upon written request directed to:  Suburban Propane Partners, L.P., Investor Relations, P.O. Box </w:t>
      </w:r>
      <w:r>
        <w:rPr>
          <w:sz w:val="20"/>
          <w:szCs w:val="20"/>
        </w:rPr>
        <w:t>206, Whippany, New Jersey 07981-0206.</w:t>
      </w:r>
    </w:p>
    <w:p w:rsidR="00000000" w:rsidRDefault="00827839">
      <w:pPr>
        <w:pStyle w:val="a3"/>
        <w:spacing w:before="240" w:beforeAutospacing="0" w:after="0" w:afterAutospacing="0"/>
        <w:ind w:firstLine="556"/>
        <w:jc w:val="both"/>
        <w:rPr>
          <w:sz w:val="20"/>
          <w:szCs w:val="20"/>
        </w:rPr>
      </w:pPr>
      <w:r>
        <w:rPr>
          <w:sz w:val="20"/>
          <w:szCs w:val="20"/>
        </w:rPr>
        <w:t>During fiscal 2019, the Compensation Committee independently retained Willis Towers Watson, a human resources consulting firm, to assist the Compensation Committee in developing certain components of the compensation p</w:t>
      </w:r>
      <w:r>
        <w:rPr>
          <w:sz w:val="20"/>
          <w:szCs w:val="20"/>
        </w:rPr>
        <w:t>ackages for the Partnership’s executive officers. See Item 11 below.</w:t>
      </w:r>
    </w:p>
    <w:p w:rsidR="00000000" w:rsidRDefault="00827839">
      <w:pPr>
        <w:pStyle w:val="a3"/>
        <w:spacing w:before="360" w:beforeAutospacing="0" w:after="0" w:afterAutospacing="0"/>
        <w:jc w:val="both"/>
        <w:rPr>
          <w:b/>
          <w:bCs/>
          <w:sz w:val="20"/>
          <w:szCs w:val="20"/>
        </w:rPr>
      </w:pPr>
      <w:r>
        <w:rPr>
          <w:b/>
          <w:bCs/>
          <w:sz w:val="20"/>
          <w:szCs w:val="20"/>
        </w:rPr>
        <w:t>Nominating/Governance Committee Charter</w:t>
      </w:r>
    </w:p>
    <w:p w:rsidR="00000000" w:rsidRDefault="00827839">
      <w:pPr>
        <w:pStyle w:val="a3"/>
        <w:spacing w:before="120" w:beforeAutospacing="0" w:after="0" w:afterAutospacing="0"/>
        <w:ind w:firstLine="556"/>
        <w:jc w:val="both"/>
        <w:rPr>
          <w:sz w:val="20"/>
          <w:szCs w:val="20"/>
        </w:rPr>
      </w:pPr>
      <w:r>
        <w:rPr>
          <w:sz w:val="20"/>
          <w:szCs w:val="20"/>
        </w:rPr>
        <w:t xml:space="preserve">The Nominating/Governance Committee participates in Board succession planning and development and identifies individuals qualified to become Board </w:t>
      </w:r>
      <w:r>
        <w:rPr>
          <w:sz w:val="20"/>
          <w:szCs w:val="20"/>
        </w:rPr>
        <w:t>members, recommends to the Board the persons to be nominated for election as Supervisors at any Tri-Annual Meeting of the Unitholders and the persons (if any) to be elected by the Board to fill any vacancies on the Board, develops and recommends to the Boa</w:t>
      </w:r>
      <w:r>
        <w:rPr>
          <w:sz w:val="20"/>
          <w:szCs w:val="20"/>
        </w:rPr>
        <w:t>rd changes to the Partnership’s Corporate Governance Guidelines and Principles when appropriate, and oversees the annual evaluation of the Board.  The Committee’s current members are Harold R. Logan, Jr. (its Chairman), Lawrence C. Caldwell, Matthew J. Cha</w:t>
      </w:r>
      <w:r>
        <w:rPr>
          <w:sz w:val="20"/>
          <w:szCs w:val="20"/>
        </w:rPr>
        <w:t xml:space="preserve">nin, Terence J. Connors, William M. Landuyt, John Hoyt Stookey and Jane Swift, all of whom are independent in accordance with our Corporate Governance Guidelines and Principles and the rules of the NYSE. </w:t>
      </w:r>
    </w:p>
    <w:p w:rsidR="00000000" w:rsidRDefault="00827839">
      <w:pPr>
        <w:pStyle w:val="a3"/>
        <w:spacing w:before="240" w:beforeAutospacing="0" w:after="0" w:afterAutospacing="0"/>
        <w:ind w:firstLine="556"/>
        <w:jc w:val="both"/>
        <w:rPr>
          <w:sz w:val="20"/>
          <w:szCs w:val="20"/>
        </w:rPr>
      </w:pPr>
      <w:r>
        <w:rPr>
          <w:sz w:val="20"/>
          <w:szCs w:val="20"/>
        </w:rPr>
        <w:t>We have adopted a written Nominating/Governance Com</w:t>
      </w:r>
      <w:r>
        <w:rPr>
          <w:sz w:val="20"/>
          <w:szCs w:val="20"/>
        </w:rPr>
        <w:t xml:space="preserve">mittee Charter.  A copy of our Nominating/Governance Committee Charter is available without charge from our website at </w:t>
      </w:r>
      <w:r>
        <w:rPr>
          <w:sz w:val="20"/>
          <w:szCs w:val="20"/>
          <w:u w:val="single"/>
        </w:rPr>
        <w:t>www.suburbanpropane.com</w:t>
      </w:r>
      <w:r>
        <w:rPr>
          <w:sz w:val="20"/>
          <w:szCs w:val="20"/>
        </w:rPr>
        <w:t xml:space="preserve"> or upon written request directed to:  Suburban Propane Partners, L.P., Investor Relations, P.O. Box 206, Whippany</w:t>
      </w:r>
      <w:r>
        <w:rPr>
          <w:sz w:val="20"/>
          <w:szCs w:val="20"/>
        </w:rPr>
        <w:t>, New Jersey 07981-0206.</w:t>
      </w:r>
    </w:p>
    <w:p w:rsidR="00000000" w:rsidRDefault="00827839">
      <w:pPr>
        <w:pStyle w:val="a3"/>
        <w:spacing w:before="360" w:beforeAutospacing="0" w:after="0" w:afterAutospacing="0"/>
        <w:jc w:val="both"/>
        <w:rPr>
          <w:b/>
          <w:bCs/>
          <w:sz w:val="20"/>
          <w:szCs w:val="20"/>
        </w:rPr>
      </w:pPr>
      <w:r>
        <w:rPr>
          <w:b/>
          <w:bCs/>
          <w:sz w:val="20"/>
          <w:szCs w:val="20"/>
        </w:rPr>
        <w:t>NYSE Annual CEO Certification</w:t>
      </w:r>
    </w:p>
    <w:p w:rsidR="00000000" w:rsidRDefault="00827839">
      <w:pPr>
        <w:pStyle w:val="a3"/>
        <w:spacing w:before="120" w:beforeAutospacing="0" w:after="0" w:afterAutospacing="0"/>
        <w:ind w:firstLine="556"/>
        <w:jc w:val="both"/>
        <w:rPr>
          <w:sz w:val="20"/>
          <w:szCs w:val="20"/>
        </w:rPr>
      </w:pPr>
      <w:r>
        <w:rPr>
          <w:sz w:val="20"/>
          <w:szCs w:val="20"/>
        </w:rPr>
        <w:t>The NYSE requires the Chief Executive Officer of each listed company to submit a certification indicating that the company is not in violation of the Corporate Governance listing standards of the NYSE on an annual basis.  Our Chief Executive Officer submit</w:t>
      </w:r>
      <w:r>
        <w:rPr>
          <w:sz w:val="20"/>
          <w:szCs w:val="20"/>
        </w:rPr>
        <w:t>s his Annual CEO Certification to the NYSE each December.  In December 2018, our Chief Executive Officer, Michael A. Stivala, submitted his Annual CEO Certification to the NYSE without qualification.</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48</w:t>
      </w:r>
    </w:p>
    <w:p w:rsidR="00000000" w:rsidRDefault="00827839">
      <w:pPr>
        <w:rPr>
          <w:rFonts w:eastAsia="Times New Roman"/>
        </w:rPr>
      </w:pPr>
      <w:r>
        <w:rPr>
          <w:rFonts w:eastAsia="Times New Roman"/>
        </w:rPr>
        <w:pict>
          <v:rect id="_x0000_i107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592469310"/>
        </w:trPr>
        <w:tc>
          <w:tcPr>
            <w:tcW w:w="513" w:type="pct"/>
            <w:noWrap/>
            <w:hideMark/>
          </w:tcPr>
          <w:p w:rsidR="00000000" w:rsidRDefault="00827839">
            <w:pPr>
              <w:pStyle w:val="a3"/>
              <w:spacing w:before="0" w:beforeAutospacing="0" w:after="0" w:afterAutospacing="0"/>
              <w:jc w:val="both"/>
              <w:rPr>
                <w:b/>
                <w:bCs/>
                <w:sz w:val="20"/>
                <w:szCs w:val="20"/>
              </w:rPr>
            </w:pPr>
            <w:r>
              <w:rPr>
                <w:b/>
                <w:bCs/>
                <w:sz w:val="20"/>
                <w:szCs w:val="20"/>
              </w:rPr>
              <w:t>ITEM 11.</w:t>
            </w:r>
          </w:p>
        </w:tc>
        <w:tc>
          <w:tcPr>
            <w:tcW w:w="0" w:type="auto"/>
            <w:hideMark/>
          </w:tcPr>
          <w:p w:rsidR="00000000" w:rsidRDefault="00827839">
            <w:pPr>
              <w:pStyle w:val="a3"/>
              <w:spacing w:before="0" w:beforeAutospacing="0" w:after="0" w:afterAutospacing="0"/>
              <w:jc w:val="both"/>
              <w:rPr>
                <w:b/>
                <w:bCs/>
                <w:sz w:val="20"/>
                <w:szCs w:val="20"/>
              </w:rPr>
            </w:pPr>
            <w:r>
              <w:rPr>
                <w:b/>
                <w:bCs/>
                <w:sz w:val="20"/>
                <w:szCs w:val="20"/>
              </w:rPr>
              <w:t>EXECUTIVE COMPENSATION</w:t>
            </w:r>
          </w:p>
        </w:tc>
      </w:tr>
    </w:tbl>
    <w:p w:rsidR="00000000" w:rsidRDefault="00827839">
      <w:pPr>
        <w:pStyle w:val="a3"/>
        <w:spacing w:before="120" w:beforeAutospacing="0" w:after="0" w:afterAutospacing="0"/>
        <w:rPr>
          <w:b/>
          <w:bCs/>
          <w:sz w:val="20"/>
          <w:szCs w:val="20"/>
        </w:rPr>
      </w:pPr>
      <w:r>
        <w:rPr>
          <w:b/>
          <w:bCs/>
          <w:sz w:val="20"/>
          <w:szCs w:val="20"/>
        </w:rPr>
        <w:t>Compensation Discussion and Analysis</w:t>
      </w:r>
    </w:p>
    <w:p w:rsidR="00000000" w:rsidRDefault="00827839">
      <w:pPr>
        <w:pStyle w:val="a3"/>
        <w:spacing w:before="120" w:beforeAutospacing="0" w:after="0" w:afterAutospacing="0"/>
        <w:ind w:firstLine="556"/>
        <w:jc w:val="both"/>
        <w:rPr>
          <w:sz w:val="20"/>
          <w:szCs w:val="20"/>
        </w:rPr>
      </w:pPr>
      <w:r>
        <w:rPr>
          <w:sz w:val="20"/>
          <w:szCs w:val="20"/>
        </w:rPr>
        <w:t>This Compensation Discussion and Analysis (“CD&amp;A”</w:t>
      </w:r>
      <w:r>
        <w:rPr>
          <w:sz w:val="20"/>
          <w:szCs w:val="20"/>
        </w:rPr>
        <w:t>) explains our executive compensation philosophy, policies and practices with respect to those executive officers of the Partnership identified below whom we collectively refer to as our “named executive officers”: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455"/>
        <w:gridCol w:w="133"/>
        <w:gridCol w:w="4057"/>
      </w:tblGrid>
      <w:tr w:rsidR="00000000">
        <w:trPr>
          <w:divId w:val="377782072"/>
        </w:trPr>
        <w:tc>
          <w:tcPr>
            <w:tcW w:w="1847"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5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Position</w:t>
            </w:r>
          </w:p>
        </w:tc>
      </w:tr>
      <w:tr w:rsidR="00000000">
        <w:trPr>
          <w:divId w:val="377782072"/>
        </w:trPr>
        <w:tc>
          <w:tcPr>
            <w:tcW w:w="1847"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3052"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P</w:t>
            </w:r>
            <w:r>
              <w:rPr>
                <w:color w:val="000000"/>
                <w:sz w:val="20"/>
                <w:szCs w:val="20"/>
              </w:rPr>
              <w:t>resident and Chief Executive Officer</w:t>
            </w:r>
          </w:p>
        </w:tc>
      </w:tr>
      <w:tr w:rsidR="00000000">
        <w:trPr>
          <w:divId w:val="377782072"/>
        </w:trPr>
        <w:tc>
          <w:tcPr>
            <w:tcW w:w="184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305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Chief</w:t>
            </w:r>
            <w:r>
              <w:rPr>
                <w:rFonts w:ascii="Calibri" w:hAnsi="Calibri" w:cs="Calibri"/>
                <w:color w:val="000000"/>
                <w:sz w:val="20"/>
                <w:szCs w:val="20"/>
              </w:rPr>
              <w:t> </w:t>
            </w:r>
            <w:r>
              <w:rPr>
                <w:color w:val="000000"/>
                <w:sz w:val="20"/>
                <w:szCs w:val="20"/>
              </w:rPr>
              <w:t>Financial Officer and Chief Accounting Officer</w:t>
            </w:r>
          </w:p>
        </w:tc>
      </w:tr>
      <w:tr w:rsidR="00000000">
        <w:trPr>
          <w:divId w:val="377782072"/>
        </w:trPr>
        <w:tc>
          <w:tcPr>
            <w:tcW w:w="184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305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Chief Operating Officer</w:t>
            </w:r>
          </w:p>
        </w:tc>
      </w:tr>
      <w:tr w:rsidR="00000000">
        <w:trPr>
          <w:divId w:val="377782072"/>
        </w:trPr>
        <w:tc>
          <w:tcPr>
            <w:tcW w:w="184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305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Senior Vice President, Product Supply, Purchasing and Logistics</w:t>
            </w:r>
          </w:p>
        </w:tc>
      </w:tr>
      <w:tr w:rsidR="00000000">
        <w:trPr>
          <w:divId w:val="377782072"/>
        </w:trPr>
        <w:tc>
          <w:tcPr>
            <w:tcW w:w="184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305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Senior Vice President, General Counsel and Secretary (Retired on October 1, 2019)</w:t>
            </w:r>
          </w:p>
        </w:tc>
      </w:tr>
    </w:tbl>
    <w:p w:rsidR="00000000" w:rsidRDefault="00827839">
      <w:pPr>
        <w:pStyle w:val="a3"/>
        <w:spacing w:before="360" w:beforeAutospacing="0" w:after="0" w:afterAutospacing="0"/>
        <w:jc w:val="both"/>
        <w:rPr>
          <w:b/>
          <w:bCs/>
          <w:sz w:val="20"/>
          <w:szCs w:val="20"/>
        </w:rPr>
      </w:pPr>
      <w:r>
        <w:rPr>
          <w:b/>
          <w:bCs/>
          <w:sz w:val="20"/>
          <w:szCs w:val="20"/>
        </w:rPr>
        <w:t>Key Topics Covered in our CD&amp;A</w:t>
      </w:r>
    </w:p>
    <w:p w:rsidR="00000000" w:rsidRDefault="00827839">
      <w:pPr>
        <w:pStyle w:val="a3"/>
        <w:spacing w:before="120" w:beforeAutospacing="0" w:after="0" w:afterAutospacing="0"/>
        <w:ind w:firstLine="556"/>
        <w:jc w:val="both"/>
        <w:rPr>
          <w:sz w:val="20"/>
          <w:szCs w:val="20"/>
        </w:rPr>
      </w:pPr>
      <w:r>
        <w:rPr>
          <w:sz w:val="20"/>
          <w:szCs w:val="20"/>
        </w:rPr>
        <w:t>The following table summarizes the main areas of focus in the CD&amp;</w:t>
      </w:r>
      <w:r>
        <w:rPr>
          <w:sz w:val="20"/>
          <w:szCs w:val="20"/>
        </w:rPr>
        <w:t>A:</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6645"/>
      </w:tblGrid>
      <w:tr w:rsidR="00000000">
        <w:trPr>
          <w:divId w:val="1379816399"/>
          <w:trHeight w:val="374"/>
        </w:trPr>
        <w:tc>
          <w:tcPr>
            <w:tcW w:w="500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Compensation Governance</w:t>
            </w:r>
          </w:p>
        </w:tc>
      </w:tr>
      <w:tr w:rsidR="00000000">
        <w:trPr>
          <w:divId w:val="1379816399"/>
        </w:trPr>
        <w:tc>
          <w:tcPr>
            <w:tcW w:w="5000"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Participants in the Compensation Process</w:t>
            </w:r>
          </w:p>
        </w:tc>
      </w:tr>
      <w:tr w:rsidR="00000000">
        <w:trPr>
          <w:divId w:val="1379816399"/>
        </w:trPr>
        <w:tc>
          <w:tcPr>
            <w:tcW w:w="50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The Annual Compensation Decision Making Process</w:t>
            </w:r>
          </w:p>
        </w:tc>
      </w:tr>
      <w:tr w:rsidR="00000000">
        <w:trPr>
          <w:divId w:val="1379816399"/>
        </w:trPr>
        <w:tc>
          <w:tcPr>
            <w:tcW w:w="50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Risk Mitigation Policies</w:t>
            </w:r>
          </w:p>
        </w:tc>
      </w:tr>
      <w:tr w:rsidR="00000000">
        <w:trPr>
          <w:divId w:val="1379816399"/>
          <w:trHeight w:val="374"/>
        </w:trPr>
        <w:tc>
          <w:tcPr>
            <w:tcW w:w="500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Executive Compensation Philosophy</w:t>
            </w:r>
          </w:p>
        </w:tc>
      </w:tr>
      <w:tr w:rsidR="00000000">
        <w:trPr>
          <w:divId w:val="1379816399"/>
        </w:trPr>
        <w:tc>
          <w:tcPr>
            <w:tcW w:w="5000"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Overview</w:t>
            </w:r>
          </w:p>
        </w:tc>
      </w:tr>
      <w:tr w:rsidR="00000000">
        <w:trPr>
          <w:divId w:val="1379816399"/>
        </w:trPr>
        <w:tc>
          <w:tcPr>
            <w:tcW w:w="50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Pay Mix</w:t>
            </w:r>
          </w:p>
        </w:tc>
      </w:tr>
      <w:tr w:rsidR="00000000">
        <w:trPr>
          <w:divId w:val="1379816399"/>
          <w:trHeight w:val="374"/>
        </w:trPr>
        <w:tc>
          <w:tcPr>
            <w:tcW w:w="5000" w:type="pct"/>
            <w:tcBorders>
              <w:bottom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Components of Compensation</w:t>
            </w:r>
          </w:p>
        </w:tc>
      </w:tr>
      <w:tr w:rsidR="00000000">
        <w:trPr>
          <w:divId w:val="1379816399"/>
        </w:trPr>
        <w:tc>
          <w:tcPr>
            <w:tcW w:w="5000"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Base Salary</w:t>
            </w:r>
          </w:p>
        </w:tc>
      </w:tr>
      <w:tr w:rsidR="00000000">
        <w:trPr>
          <w:divId w:val="1379816399"/>
        </w:trPr>
        <w:tc>
          <w:tcPr>
            <w:tcW w:w="50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Annual Cash Bonus</w:t>
            </w:r>
          </w:p>
        </w:tc>
      </w:tr>
      <w:tr w:rsidR="00000000">
        <w:trPr>
          <w:divId w:val="1379816399"/>
        </w:trPr>
        <w:tc>
          <w:tcPr>
            <w:tcW w:w="50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Long-Term Incentive Plan</w:t>
            </w:r>
          </w:p>
        </w:tc>
      </w:tr>
      <w:tr w:rsidR="00000000">
        <w:trPr>
          <w:divId w:val="1379816399"/>
        </w:trPr>
        <w:tc>
          <w:tcPr>
            <w:tcW w:w="50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Restricted Unit Plans</w:t>
            </w:r>
          </w:p>
        </w:tc>
      </w:tr>
      <w:tr w:rsidR="00000000">
        <w:trPr>
          <w:divId w:val="1379816399"/>
        </w:trPr>
        <w:tc>
          <w:tcPr>
            <w:tcW w:w="50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Distribution Equivalent Rights Plan</w:t>
            </w:r>
          </w:p>
        </w:tc>
      </w:tr>
      <w:tr w:rsidR="00000000">
        <w:trPr>
          <w:divId w:val="1379816399"/>
        </w:trPr>
        <w:tc>
          <w:tcPr>
            <w:tcW w:w="50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Benefits and Perquisites</w:t>
            </w:r>
          </w:p>
        </w:tc>
      </w:tr>
    </w:tbl>
    <w:p w:rsidR="00000000" w:rsidRDefault="00827839">
      <w:pPr>
        <w:pStyle w:val="a3"/>
        <w:spacing w:before="360" w:beforeAutospacing="0" w:after="0" w:afterAutospacing="0"/>
        <w:jc w:val="both"/>
        <w:rPr>
          <w:b/>
          <w:bCs/>
          <w:sz w:val="20"/>
          <w:szCs w:val="20"/>
        </w:rPr>
      </w:pPr>
      <w:r>
        <w:rPr>
          <w:b/>
          <w:bCs/>
          <w:sz w:val="20"/>
          <w:szCs w:val="20"/>
        </w:rPr>
        <w:t>Compensation Governance</w:t>
      </w:r>
    </w:p>
    <w:p w:rsidR="00000000" w:rsidRDefault="00827839">
      <w:pPr>
        <w:pStyle w:val="a3"/>
        <w:spacing w:before="120" w:beforeAutospacing="0" w:after="0" w:afterAutospacing="0"/>
        <w:jc w:val="both"/>
        <w:rPr>
          <w:b/>
          <w:bCs/>
          <w:color w:val="000000"/>
          <w:sz w:val="20"/>
          <w:szCs w:val="20"/>
        </w:rPr>
      </w:pPr>
      <w:r>
        <w:rPr>
          <w:b/>
          <w:bCs/>
          <w:color w:val="000000"/>
          <w:sz w:val="20"/>
          <w:szCs w:val="20"/>
        </w:rPr>
        <w:t>Participants in the Compensation Process</w:t>
      </w:r>
    </w:p>
    <w:p w:rsidR="00000000" w:rsidRDefault="00827839">
      <w:pPr>
        <w:pStyle w:val="a3"/>
        <w:spacing w:before="120" w:beforeAutospacing="0" w:after="0" w:afterAutospacing="0"/>
        <w:jc w:val="both"/>
        <w:rPr>
          <w:i/>
          <w:iCs/>
          <w:color w:val="000000"/>
          <w:sz w:val="20"/>
          <w:szCs w:val="20"/>
        </w:rPr>
      </w:pPr>
      <w:r>
        <w:rPr>
          <w:i/>
          <w:iCs/>
          <w:color w:val="000000"/>
          <w:sz w:val="20"/>
          <w:szCs w:val="20"/>
        </w:rPr>
        <w:t>Role of the Compensation Committee</w:t>
      </w:r>
    </w:p>
    <w:p w:rsidR="00000000" w:rsidRDefault="00827839">
      <w:pPr>
        <w:pStyle w:val="a3"/>
        <w:spacing w:before="120" w:beforeAutospacing="0" w:after="0" w:afterAutospacing="0"/>
        <w:ind w:firstLine="556"/>
        <w:jc w:val="both"/>
        <w:rPr>
          <w:sz w:val="20"/>
          <w:szCs w:val="20"/>
        </w:rPr>
      </w:pPr>
      <w:r>
        <w:rPr>
          <w:sz w:val="20"/>
          <w:szCs w:val="20"/>
        </w:rPr>
        <w:t xml:space="preserve">The Compensation Committee of our Board of Supervisors (the “Committee”) is responsible for overseeing our executive compensation program.  In accordance with its charter, available on our website at </w:t>
      </w:r>
      <w:r>
        <w:rPr>
          <w:sz w:val="20"/>
          <w:szCs w:val="20"/>
          <w:u w:val="single"/>
        </w:rPr>
        <w:t>www.suburbanpropane.c</w:t>
      </w:r>
      <w:r>
        <w:rPr>
          <w:sz w:val="20"/>
          <w:szCs w:val="20"/>
          <w:u w:val="single"/>
        </w:rPr>
        <w:t>om</w:t>
      </w:r>
      <w:r>
        <w:rPr>
          <w:sz w:val="20"/>
          <w:szCs w:val="20"/>
        </w:rPr>
        <w:t>, the Committee ensures that the compensation packages provided to our executive officers are designed in accordance with our compensation philosophy.  The Committee reviews and approves the compensation packages of our managing directors, assistant vice</w:t>
      </w:r>
      <w:r>
        <w:rPr>
          <w:sz w:val="20"/>
          <w:szCs w:val="20"/>
        </w:rPr>
        <w:t xml:space="preserve"> presidents, vice presidents, senior vice presidents, and our named executive officers. The Committee establishes and oversees our general compensation philosophy in consultation with our President and Chief Executive Officer.  </w:t>
      </w:r>
    </w:p>
    <w:p w:rsidR="00000000" w:rsidRDefault="00827839">
      <w:pPr>
        <w:pStyle w:val="a3"/>
        <w:spacing w:before="240" w:beforeAutospacing="0" w:after="0" w:afterAutospacing="0"/>
        <w:ind w:firstLine="556"/>
        <w:jc w:val="both"/>
        <w:rPr>
          <w:sz w:val="20"/>
          <w:szCs w:val="20"/>
        </w:rPr>
      </w:pPr>
      <w:r>
        <w:rPr>
          <w:sz w:val="20"/>
          <w:szCs w:val="20"/>
        </w:rPr>
        <w:t>Among other duties, the Com</w:t>
      </w:r>
      <w:r>
        <w:rPr>
          <w:sz w:val="20"/>
          <w:szCs w:val="20"/>
        </w:rPr>
        <w:t>mittee has overall responsibility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05969625"/>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Reviewing and approving the compensation of our President and Chief Executive Officer, our Chief Financial Officer, and our other executive officers;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Reporting to the Board of Supervisors any and all decisions regarding compensation changes for our President and Chief Executive Officer and our other executive officers;</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49</w:t>
      </w:r>
    </w:p>
    <w:p w:rsidR="00000000" w:rsidRDefault="00827839">
      <w:pPr>
        <w:rPr>
          <w:rFonts w:eastAsia="Times New Roman"/>
        </w:rPr>
      </w:pPr>
      <w:r>
        <w:rPr>
          <w:rFonts w:eastAsia="Times New Roman"/>
        </w:rPr>
        <w:pict>
          <v:rect id="_x0000_i107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w:t>
        </w:r>
        <w:r>
          <w:rPr>
            <w:rStyle w:val="a4"/>
            <w:sz w:val="18"/>
            <w:szCs w:val="18"/>
          </w:rPr>
          <w:t>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504319560"/>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Evaluating and approving awards under our annual cash bonus plan, awards under our Long-Term Incentive Plan, grants under our Restricted Unit Plans, and grants under our Distribution Equivalent Rights Plan, as well as all other execut</w:t>
            </w:r>
            <w:r>
              <w:rPr>
                <w:color w:val="000000"/>
                <w:sz w:val="20"/>
                <w:szCs w:val="20"/>
              </w:rPr>
              <w:t>ive compensation policies and programs;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 xml:space="preserve">Approving, administering and interpreting the compensation plans that constitute each component of our executive officers’ compensation packages; </w:t>
            </w:r>
          </w:p>
        </w:tc>
      </w:tr>
    </w:tbl>
    <w:p w:rsidR="00000000" w:rsidRDefault="00827839">
      <w:pPr>
        <w:divId w:val="172840849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728408493"/>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Engaging consultants, when appropriate, to provide independent, third-party advice on executive officer-related compensation;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Planning for anticipated and unexpected leadership changes by engaging in a continual process of management succession p</w:t>
            </w:r>
            <w:r>
              <w:rPr>
                <w:color w:val="000000"/>
                <w:sz w:val="20"/>
                <w:szCs w:val="20"/>
              </w:rPr>
              <w:t>lanning.</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160" w:beforeAutospacing="0" w:after="0" w:afterAutospacing="0"/>
        <w:jc w:val="both"/>
        <w:rPr>
          <w:i/>
          <w:iCs/>
          <w:color w:val="000000"/>
          <w:sz w:val="20"/>
          <w:szCs w:val="20"/>
        </w:rPr>
      </w:pPr>
      <w:r>
        <w:rPr>
          <w:i/>
          <w:iCs/>
          <w:color w:val="000000"/>
          <w:sz w:val="20"/>
          <w:szCs w:val="20"/>
        </w:rPr>
        <w:t>Role of the President and Chief Executive Officer</w:t>
      </w:r>
    </w:p>
    <w:p w:rsidR="00000000" w:rsidRDefault="00827839">
      <w:pPr>
        <w:pStyle w:val="a3"/>
        <w:spacing w:before="120" w:beforeAutospacing="0" w:after="0" w:afterAutospacing="0"/>
        <w:ind w:firstLine="556"/>
        <w:jc w:val="both"/>
        <w:rPr>
          <w:sz w:val="20"/>
          <w:szCs w:val="20"/>
        </w:rPr>
      </w:pPr>
      <w:r>
        <w:rPr>
          <w:sz w:val="20"/>
          <w:szCs w:val="20"/>
        </w:rPr>
        <w:t>The role of our President and Chief Executive Officer in the executive compensation process is to recommend individual pay adjustments, grants of restricted units under the Partnership’s Restric</w:t>
      </w:r>
      <w:r>
        <w:rPr>
          <w:sz w:val="20"/>
          <w:szCs w:val="20"/>
        </w:rPr>
        <w:t>ted Unit Plans and other adjustments to the compensation packages of the executive officers, other than for himself, to the Committee based on market conditions, the Partnership’s performance, and individual performance.  When recommending individual pay a</w:t>
      </w:r>
      <w:r>
        <w:rPr>
          <w:sz w:val="20"/>
          <w:szCs w:val="20"/>
        </w:rPr>
        <w:t>djustments for the executive officers, Mr. Stivala, our President and Chief Executive Officer, presents the Committee with information comparing each executive officer’s current compensation to the mean compensation figures for comparable positions include</w:t>
      </w:r>
      <w:r>
        <w:rPr>
          <w:sz w:val="20"/>
          <w:szCs w:val="20"/>
        </w:rPr>
        <w:t>d in benchmarking data utilized by the Committee.</w:t>
      </w:r>
    </w:p>
    <w:p w:rsidR="00000000" w:rsidRDefault="00827839">
      <w:pPr>
        <w:pStyle w:val="a3"/>
        <w:spacing w:before="360" w:beforeAutospacing="0" w:after="0" w:afterAutospacing="0"/>
        <w:jc w:val="both"/>
        <w:rPr>
          <w:i/>
          <w:iCs/>
          <w:color w:val="000000"/>
          <w:sz w:val="20"/>
          <w:szCs w:val="20"/>
        </w:rPr>
      </w:pPr>
      <w:r>
        <w:rPr>
          <w:i/>
          <w:iCs/>
          <w:color w:val="000000"/>
          <w:sz w:val="20"/>
          <w:szCs w:val="20"/>
        </w:rPr>
        <w:t>Role of Outside Consultants</w:t>
      </w:r>
    </w:p>
    <w:p w:rsidR="00000000" w:rsidRDefault="00827839">
      <w:pPr>
        <w:pStyle w:val="a3"/>
        <w:spacing w:before="120" w:beforeAutospacing="0" w:after="0" w:afterAutospacing="0"/>
        <w:ind w:firstLine="556"/>
        <w:jc w:val="both"/>
        <w:rPr>
          <w:sz w:val="20"/>
          <w:szCs w:val="20"/>
        </w:rPr>
      </w:pPr>
      <w:r>
        <w:rPr>
          <w:sz w:val="20"/>
          <w:szCs w:val="20"/>
        </w:rPr>
        <w:t>Prior to each Committee meeting at which executive compensation packages are reviewed, members of the Committee are provided with benchmarking data from the Mercer Human Resource</w:t>
      </w:r>
      <w:r>
        <w:rPr>
          <w:sz w:val="20"/>
          <w:szCs w:val="20"/>
        </w:rPr>
        <w:t xml:space="preserve"> Consulting, Inc. (“Mercer”) database for comparison.  The Committee’s sole use of the Mercer database is to compare and contrast our executive officers’ current base salaries and total direct compensation to the data provided in the Mercer benchmarking da</w:t>
      </w:r>
      <w:r>
        <w:rPr>
          <w:sz w:val="20"/>
          <w:szCs w:val="20"/>
        </w:rPr>
        <w:t>tabase, which is derived from a proprietary database of surveys from over 1,836 organizations and approximately 1,863 positions that may or may not include similarly-sized national propane marketers.  The use of the Mercer database provides a broad base of</w:t>
      </w:r>
      <w:r>
        <w:rPr>
          <w:sz w:val="20"/>
          <w:szCs w:val="20"/>
        </w:rPr>
        <w:t xml:space="preserve"> compensation benchmarking information for companies of a size similar to that of the Partnership.  There was no formal consultancy role played by Mercer.  Therefore, prior to the Committee’s meetings, neither the Committee members nor our President and Ch</w:t>
      </w:r>
      <w:r>
        <w:rPr>
          <w:sz w:val="20"/>
          <w:szCs w:val="20"/>
        </w:rPr>
        <w:t>ief Executive Officer met with representatives from Mercer.  </w:t>
      </w:r>
    </w:p>
    <w:p w:rsidR="00000000" w:rsidRDefault="00827839">
      <w:pPr>
        <w:pStyle w:val="a3"/>
        <w:spacing w:before="240" w:beforeAutospacing="0" w:after="0" w:afterAutospacing="0"/>
        <w:ind w:firstLine="556"/>
        <w:jc w:val="both"/>
        <w:rPr>
          <w:sz w:val="20"/>
          <w:szCs w:val="20"/>
        </w:rPr>
      </w:pPr>
      <w:r>
        <w:rPr>
          <w:sz w:val="20"/>
          <w:szCs w:val="20"/>
        </w:rPr>
        <w:t>In addition to using the benchmarking data from the Mercer benchmarking database, the Committee has utilized, since fiscal 2013, the services of Willis Towers Watson (“WTW”), a human resources c</w:t>
      </w:r>
      <w:r>
        <w:rPr>
          <w:sz w:val="20"/>
          <w:szCs w:val="20"/>
        </w:rPr>
        <w:t>onsulting firm, formerly known as Towers Watson &amp; Co., in developing compensation packages for each of our named executive officers.  During fiscal 2019, the Committee engaged WTW to provide current benchmarking recommendations for each of our executive of</w:t>
      </w:r>
      <w:r>
        <w:rPr>
          <w:sz w:val="20"/>
          <w:szCs w:val="20"/>
        </w:rPr>
        <w:t>ficers.  These recommendations were reviewed by the Committee to evaluate and approve compensation packages for each of our named executive officers for fiscal 2020.  WTW benchmarked the base salaries and total direct compensation of our executive officers</w:t>
      </w:r>
      <w:r>
        <w:rPr>
          <w:sz w:val="20"/>
          <w:szCs w:val="20"/>
        </w:rPr>
        <w:t xml:space="preserve"> in comparison to comparable positions, using market data for similarly-sized companies which were collected by WTW from multiple survey sources across several industries, inclusive of other energy companies in the United States.  In accordance with the Co</w:t>
      </w:r>
      <w:r>
        <w:rPr>
          <w:sz w:val="20"/>
          <w:szCs w:val="20"/>
        </w:rPr>
        <w:t xml:space="preserve">mmittee’s informal policy of considering executive pay increases every other year (except when special circumstances dictate otherwise), and because fiscal 2019 was a year during which the Committee did not consider base salary increases for our executive </w:t>
      </w:r>
      <w:r>
        <w:rPr>
          <w:sz w:val="20"/>
          <w:szCs w:val="20"/>
        </w:rPr>
        <w:t>officers, the Committee did not commission WTW to provide benchmarking recommendations for fiscal 2019, and, as such, the prior benchmarking study by WTW was performed in fiscal 2017 in relation to the evaluation process for compensation packages for fisca</w:t>
      </w:r>
      <w:r>
        <w:rPr>
          <w:sz w:val="20"/>
          <w:szCs w:val="20"/>
        </w:rPr>
        <w:t>l 2018.</w:t>
      </w:r>
    </w:p>
    <w:p w:rsidR="00000000" w:rsidRDefault="00827839">
      <w:pPr>
        <w:pStyle w:val="a3"/>
        <w:spacing w:before="360" w:beforeAutospacing="0" w:after="0" w:afterAutospacing="0"/>
        <w:jc w:val="both"/>
        <w:rPr>
          <w:i/>
          <w:iCs/>
          <w:color w:val="000000"/>
          <w:sz w:val="20"/>
          <w:szCs w:val="20"/>
        </w:rPr>
      </w:pPr>
      <w:r>
        <w:rPr>
          <w:i/>
          <w:iCs/>
          <w:color w:val="000000"/>
          <w:sz w:val="20"/>
          <w:szCs w:val="20"/>
        </w:rPr>
        <w:t>Our Unitholders:  Say-on-Pay</w:t>
      </w:r>
    </w:p>
    <w:p w:rsidR="00000000" w:rsidRDefault="00827839">
      <w:pPr>
        <w:pStyle w:val="a3"/>
        <w:spacing w:before="120" w:beforeAutospacing="0" w:after="0" w:afterAutospacing="0"/>
        <w:ind w:firstLine="556"/>
        <w:jc w:val="both"/>
        <w:rPr>
          <w:sz w:val="20"/>
          <w:szCs w:val="20"/>
        </w:rPr>
      </w:pPr>
      <w:r>
        <w:rPr>
          <w:sz w:val="20"/>
          <w:szCs w:val="20"/>
        </w:rPr>
        <w:t>At their 2018 Tri-Annual Meeting, our Unitholders overwhelmingly approved an advisory resolution approving executive compensation (commonly referred to as “Say-on-Pay”).  As a result, the Committee determined that no major revisions of its executive compen</w:t>
      </w:r>
      <w:r>
        <w:rPr>
          <w:sz w:val="20"/>
          <w:szCs w:val="20"/>
        </w:rPr>
        <w:t>sation practices were required. However, the Committee periodically evaluates its compensation practices for possible improvement.  The following represents the 2018 Say-on-Pay voting results: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67"/>
        <w:gridCol w:w="1403"/>
        <w:gridCol w:w="67"/>
        <w:gridCol w:w="168"/>
        <w:gridCol w:w="67"/>
        <w:gridCol w:w="1403"/>
        <w:gridCol w:w="67"/>
        <w:gridCol w:w="168"/>
        <w:gridCol w:w="66"/>
        <w:gridCol w:w="1402"/>
        <w:gridCol w:w="66"/>
        <w:gridCol w:w="167"/>
        <w:gridCol w:w="66"/>
        <w:gridCol w:w="1402"/>
        <w:gridCol w:w="66"/>
      </w:tblGrid>
      <w:tr w:rsidR="00000000">
        <w:trPr>
          <w:divId w:val="1084381480"/>
        </w:trPr>
        <w:tc>
          <w:tcPr>
            <w:tcW w:w="110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For</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10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Against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10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Abstain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10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Broker Non-Votes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84381480"/>
        </w:trPr>
        <w:tc>
          <w:tcPr>
            <w:tcW w:w="50"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5"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20,477,392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5"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2,064,445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5"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711,994</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5"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31,836,738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50</w:t>
      </w:r>
    </w:p>
    <w:p w:rsidR="00000000" w:rsidRDefault="00827839">
      <w:pPr>
        <w:rPr>
          <w:rFonts w:eastAsia="Times New Roman"/>
        </w:rPr>
      </w:pPr>
      <w:r>
        <w:rPr>
          <w:rFonts w:eastAsia="Times New Roman"/>
        </w:rPr>
        <w:pict>
          <v:rect id="_x0000_i107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color w:val="000000"/>
          <w:sz w:val="20"/>
          <w:szCs w:val="20"/>
        </w:rPr>
      </w:pPr>
      <w:r>
        <w:rPr>
          <w:b/>
          <w:bCs/>
          <w:color w:val="000000"/>
          <w:sz w:val="20"/>
          <w:szCs w:val="20"/>
        </w:rPr>
        <w:t>The Annual Compensation Decision Making Process</w:t>
      </w:r>
    </w:p>
    <w:p w:rsidR="00000000" w:rsidRDefault="00827839">
      <w:pPr>
        <w:pStyle w:val="a3"/>
        <w:spacing w:before="120" w:beforeAutospacing="0" w:after="0" w:afterAutospacing="0"/>
        <w:jc w:val="both"/>
        <w:rPr>
          <w:i/>
          <w:iCs/>
          <w:color w:val="000000"/>
          <w:sz w:val="20"/>
          <w:szCs w:val="20"/>
        </w:rPr>
      </w:pPr>
      <w:r>
        <w:rPr>
          <w:i/>
          <w:iCs/>
          <w:color w:val="000000"/>
          <w:sz w:val="20"/>
          <w:szCs w:val="20"/>
        </w:rPr>
        <w:t>Fiscal 2019 Committee Meetings</w:t>
      </w:r>
    </w:p>
    <w:p w:rsidR="00000000" w:rsidRDefault="00827839">
      <w:pPr>
        <w:pStyle w:val="a3"/>
        <w:spacing w:before="120" w:beforeAutospacing="0" w:after="0" w:afterAutospacing="0"/>
        <w:ind w:firstLine="556"/>
        <w:jc w:val="both"/>
        <w:rPr>
          <w:sz w:val="20"/>
          <w:szCs w:val="20"/>
        </w:rPr>
      </w:pPr>
      <w:r>
        <w:rPr>
          <w:sz w:val="20"/>
          <w:szCs w:val="20"/>
        </w:rPr>
        <w:t>The Committee holds three regularly-scheduled meetings during the fiscal year:  o</w:t>
      </w:r>
      <w:r>
        <w:rPr>
          <w:sz w:val="20"/>
          <w:szCs w:val="20"/>
        </w:rPr>
        <w:t>ne in October or November, one in January and one in July, and may meet at other times during the year as warranted.  The Committee finalized the fiscal 2019 compensation packages for each of our named executive officers at its November 13, 2018 meeting.</w:t>
      </w:r>
    </w:p>
    <w:p w:rsidR="00000000" w:rsidRDefault="00827839">
      <w:pPr>
        <w:pStyle w:val="a3"/>
        <w:spacing w:before="240" w:beforeAutospacing="0" w:after="0" w:afterAutospacing="0"/>
        <w:ind w:firstLine="556"/>
        <w:jc w:val="both"/>
        <w:rPr>
          <w:sz w:val="20"/>
          <w:szCs w:val="20"/>
        </w:rPr>
      </w:pPr>
      <w:r>
        <w:rPr>
          <w:sz w:val="20"/>
          <w:szCs w:val="20"/>
        </w:rPr>
        <w:t>A</w:t>
      </w:r>
      <w:r>
        <w:rPr>
          <w:sz w:val="20"/>
          <w:szCs w:val="20"/>
        </w:rPr>
        <w:t>s in past fiscal years and as referred to above, the Committee was provided with a comprehensive analysis of each senior executive’s past and current compensation - including benchmarking data for comparison - to enable it to assess and determine each exec</w:t>
      </w:r>
      <w:r>
        <w:rPr>
          <w:sz w:val="20"/>
          <w:szCs w:val="20"/>
        </w:rPr>
        <w:t xml:space="preserve">utive’s compensation package for fiscal 2019.  The Committee considered a number of factors in establishing the fiscal 2019 executive compensation packages; including, but not limited to, experience, scope of responsibility and individual performance.   </w:t>
      </w:r>
    </w:p>
    <w:p w:rsidR="00000000" w:rsidRDefault="00827839">
      <w:pPr>
        <w:pStyle w:val="a3"/>
        <w:spacing w:before="240" w:beforeAutospacing="0" w:after="0" w:afterAutospacing="0"/>
        <w:ind w:firstLine="556"/>
        <w:jc w:val="both"/>
        <w:rPr>
          <w:sz w:val="20"/>
          <w:szCs w:val="20"/>
        </w:rPr>
      </w:pPr>
      <w:r>
        <w:rPr>
          <w:sz w:val="20"/>
          <w:szCs w:val="20"/>
        </w:rPr>
        <w:t>P</w:t>
      </w:r>
      <w:r>
        <w:rPr>
          <w:sz w:val="20"/>
          <w:szCs w:val="20"/>
        </w:rPr>
        <w:t xml:space="preserve">rior to making its decisions regarding each named executive officer’s fiscal 2019 compensation package, the Committee reviewed the total cash compensation opportunity that was provided to each named executive officer during the previously completed fiscal </w:t>
      </w:r>
      <w:r>
        <w:rPr>
          <w:sz w:val="20"/>
          <w:szCs w:val="20"/>
        </w:rPr>
        <w:t>year.  At that time, “total cash compensation opportunity” consisted of base salary, an annual cash bonus, a cash settled long-term incentive, and distribution equivalent rights payments.  The Committee then compared each named executive officer’s total ca</w:t>
      </w:r>
      <w:r>
        <w:rPr>
          <w:sz w:val="20"/>
          <w:szCs w:val="20"/>
        </w:rPr>
        <w:t>sh compensation opportunity to the total mean cash compensation opportunity for the parallel position in the Mercer benchmarking database and to the recommendations provided by WTW for fiscal 2018.  In summary, in approving the fiscal 2019 compensation pac</w:t>
      </w:r>
      <w:r>
        <w:rPr>
          <w:sz w:val="20"/>
          <w:szCs w:val="20"/>
        </w:rPr>
        <w:t>kages for our named executive officers, the Committee based its final decisions on both the information contained in the Mercer benchmarking database and, in particular, on recommendations made by WTW for the previous fiscal year.</w:t>
      </w:r>
    </w:p>
    <w:p w:rsidR="00000000" w:rsidRDefault="00827839">
      <w:pPr>
        <w:pStyle w:val="a3"/>
        <w:spacing w:before="360" w:beforeAutospacing="0" w:after="0" w:afterAutospacing="0"/>
        <w:jc w:val="both"/>
        <w:rPr>
          <w:i/>
          <w:iCs/>
          <w:color w:val="000000"/>
          <w:sz w:val="20"/>
          <w:szCs w:val="20"/>
        </w:rPr>
      </w:pPr>
      <w:r>
        <w:rPr>
          <w:i/>
          <w:iCs/>
          <w:color w:val="000000"/>
          <w:sz w:val="20"/>
          <w:szCs w:val="20"/>
        </w:rPr>
        <w:t>Our Approach to Setting C</w:t>
      </w:r>
      <w:r>
        <w:rPr>
          <w:i/>
          <w:iCs/>
          <w:color w:val="000000"/>
          <w:sz w:val="20"/>
          <w:szCs w:val="20"/>
        </w:rPr>
        <w:t>ompensation Packages</w:t>
      </w:r>
    </w:p>
    <w:p w:rsidR="00000000" w:rsidRDefault="00827839">
      <w:pPr>
        <w:pStyle w:val="a3"/>
        <w:spacing w:before="120" w:beforeAutospacing="0" w:after="0" w:afterAutospacing="0"/>
        <w:ind w:firstLine="556"/>
        <w:jc w:val="both"/>
        <w:rPr>
          <w:sz w:val="20"/>
          <w:szCs w:val="20"/>
        </w:rPr>
      </w:pPr>
      <w:r>
        <w:rPr>
          <w:sz w:val="20"/>
          <w:szCs w:val="20"/>
        </w:rPr>
        <w:t>The Committee has adopted an informal policy of only considering adjustments to the base salaries of our named executive officers every two years (unless specific circumstances warrant adjustments); however, the Committee conducts an a</w:t>
      </w:r>
      <w:r>
        <w:rPr>
          <w:sz w:val="20"/>
          <w:szCs w:val="20"/>
        </w:rPr>
        <w:t>nnual review of the compensation packages of all of our executive officers.  In reviewing and determining the compensation packages of our named executive officers, the Committee considers a number of factors related to each executive; including, but not l</w:t>
      </w:r>
      <w:r>
        <w:rPr>
          <w:sz w:val="20"/>
          <w:szCs w:val="20"/>
        </w:rPr>
        <w:t>imited to, years of experience in current position, scope and level of responsibility, influence over the affairs of the Partnership and individual performance.  The relative importance assigned to each of these factors by the Committee may differ from exe</w:t>
      </w:r>
      <w:r>
        <w:rPr>
          <w:sz w:val="20"/>
          <w:szCs w:val="20"/>
        </w:rPr>
        <w:t>cutive to executive and from year to year.  As a result, different weights may be given to different components of compensation among each of our named executive officers.</w:t>
      </w:r>
    </w:p>
    <w:p w:rsidR="00000000" w:rsidRDefault="00827839">
      <w:pPr>
        <w:pStyle w:val="a3"/>
        <w:spacing w:before="240" w:beforeAutospacing="0" w:after="0" w:afterAutospacing="0"/>
        <w:ind w:firstLine="556"/>
        <w:jc w:val="both"/>
        <w:rPr>
          <w:sz w:val="20"/>
          <w:szCs w:val="20"/>
        </w:rPr>
      </w:pPr>
      <w:r>
        <w:rPr>
          <w:sz w:val="20"/>
          <w:szCs w:val="20"/>
        </w:rPr>
        <w:t>As previously stated, the Committee was provided with benchmarking data for comparis</w:t>
      </w:r>
      <w:r>
        <w:rPr>
          <w:sz w:val="20"/>
          <w:szCs w:val="20"/>
        </w:rPr>
        <w:t>on.  This benchmarking data is just one of a number of factors considered by the Committee, but, in some cases, is not necessarily the most persuasive factor.  The Committee compared total cash compensation opportunities, comprising base salary, annual cas</w:t>
      </w:r>
      <w:r>
        <w:rPr>
          <w:sz w:val="20"/>
          <w:szCs w:val="20"/>
        </w:rPr>
        <w:t>h bonuses, cash settled long-term incentives and distribution equivalent rights payments, as well as total direct compensation (which includes grants under our Restricted Unit Plans) to the total mean cash compensation opportunity and total direct compensa</w:t>
      </w:r>
      <w:r>
        <w:rPr>
          <w:sz w:val="20"/>
          <w:szCs w:val="20"/>
        </w:rPr>
        <w:t>tion opportunity for the parallel position in the Mercer benchmarking database, and to the recommendations previously provided by WTW.</w:t>
      </w:r>
    </w:p>
    <w:p w:rsidR="00000000" w:rsidRDefault="00827839">
      <w:pPr>
        <w:pStyle w:val="a3"/>
        <w:spacing w:before="360" w:beforeAutospacing="0" w:after="0" w:afterAutospacing="0"/>
        <w:jc w:val="both"/>
        <w:rPr>
          <w:i/>
          <w:iCs/>
          <w:color w:val="000000"/>
          <w:sz w:val="20"/>
          <w:szCs w:val="20"/>
        </w:rPr>
      </w:pPr>
      <w:r>
        <w:rPr>
          <w:i/>
          <w:iCs/>
          <w:color w:val="000000"/>
          <w:sz w:val="20"/>
          <w:szCs w:val="20"/>
        </w:rPr>
        <w:t>Compensation Peer Group</w:t>
      </w:r>
    </w:p>
    <w:p w:rsidR="00000000" w:rsidRDefault="00827839">
      <w:pPr>
        <w:pStyle w:val="a3"/>
        <w:spacing w:before="120" w:beforeAutospacing="0" w:after="0" w:afterAutospacing="0"/>
        <w:ind w:firstLine="556"/>
        <w:jc w:val="both"/>
        <w:rPr>
          <w:sz w:val="20"/>
          <w:szCs w:val="20"/>
        </w:rPr>
      </w:pPr>
      <w:r>
        <w:rPr>
          <w:sz w:val="20"/>
          <w:szCs w:val="20"/>
        </w:rPr>
        <w:t>The Committee bases its benchmarking on a broad base of companies of similar size to the Partners</w:t>
      </w:r>
      <w:r>
        <w:rPr>
          <w:sz w:val="20"/>
          <w:szCs w:val="20"/>
        </w:rPr>
        <w:t>hip, and does not rely solely on a peer group of other propane marketers.  The Committee takes this approach because it believes that the proximity of our headquarters to New York City and the need to realistically compete for skilled executives in an envi</w:t>
      </w:r>
      <w:r>
        <w:rPr>
          <w:sz w:val="20"/>
          <w:szCs w:val="20"/>
        </w:rPr>
        <w:t>ronment shared by numerous other enterprises seeking similarly skilled employees requires a broader review of the market.  Furthermore, similarly-sized propane marketers (of which there are only two) compete for executives in different economic environment</w:t>
      </w:r>
      <w:r>
        <w:rPr>
          <w:sz w:val="20"/>
          <w:szCs w:val="20"/>
        </w:rPr>
        <w:t>s and have different ownership structures which may influence the comparability of compensation data for executive officer positions. This benchmarking approach has been in place for a number of years.</w:t>
      </w:r>
    </w:p>
    <w:p w:rsidR="00000000" w:rsidRDefault="00827839">
      <w:pPr>
        <w:pStyle w:val="a3"/>
        <w:spacing w:before="240" w:beforeAutospacing="0" w:after="0" w:afterAutospacing="0"/>
        <w:ind w:firstLine="556"/>
        <w:jc w:val="both"/>
        <w:rPr>
          <w:sz w:val="20"/>
          <w:szCs w:val="20"/>
        </w:rPr>
      </w:pPr>
      <w:r>
        <w:rPr>
          <w:sz w:val="20"/>
          <w:szCs w:val="20"/>
        </w:rPr>
        <w:t>The compensation packages of the named executive offic</w:t>
      </w:r>
      <w:r>
        <w:rPr>
          <w:sz w:val="20"/>
          <w:szCs w:val="20"/>
        </w:rPr>
        <w:t>ers of Ferrellgas Partners, L.P. and AmeriGas Partners, L.P. were included in the benchmarking study provided by WTW for fiscal 2018 and fiscal 2020 and was reviewed by the Committee as part of its decision-making process in establishing executive compensa</w:t>
      </w:r>
      <w:r>
        <w:rPr>
          <w:sz w:val="20"/>
          <w:szCs w:val="20"/>
        </w:rPr>
        <w:t>tion for both fiscal 2018 and fiscal 2019.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51</w:t>
      </w:r>
    </w:p>
    <w:p w:rsidR="00000000" w:rsidRDefault="00827839">
      <w:pPr>
        <w:rPr>
          <w:rFonts w:eastAsia="Times New Roman"/>
        </w:rPr>
      </w:pPr>
      <w:r>
        <w:rPr>
          <w:rFonts w:eastAsia="Times New Roman"/>
        </w:rPr>
        <w:pict>
          <v:rect id="_x0000_i107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color w:val="000000"/>
          <w:sz w:val="20"/>
          <w:szCs w:val="20"/>
        </w:rPr>
      </w:pPr>
      <w:r>
        <w:rPr>
          <w:b/>
          <w:bCs/>
          <w:color w:val="000000"/>
          <w:sz w:val="20"/>
          <w:szCs w:val="20"/>
        </w:rPr>
        <w:t>Risk Mitigation Policies</w:t>
      </w:r>
    </w:p>
    <w:p w:rsidR="00000000" w:rsidRDefault="00827839">
      <w:pPr>
        <w:pStyle w:val="a3"/>
        <w:spacing w:before="120" w:beforeAutospacing="0" w:after="0" w:afterAutospacing="0"/>
        <w:jc w:val="both"/>
        <w:rPr>
          <w:i/>
          <w:iCs/>
          <w:color w:val="000000"/>
          <w:sz w:val="20"/>
          <w:szCs w:val="20"/>
        </w:rPr>
      </w:pPr>
      <w:r>
        <w:rPr>
          <w:i/>
          <w:iCs/>
          <w:color w:val="000000"/>
          <w:sz w:val="20"/>
          <w:szCs w:val="20"/>
        </w:rPr>
        <w:t>Equity Holding Policy</w:t>
      </w:r>
    </w:p>
    <w:p w:rsidR="00000000" w:rsidRDefault="00827839">
      <w:pPr>
        <w:pStyle w:val="a3"/>
        <w:spacing w:before="120" w:beforeAutospacing="0" w:after="0" w:afterAutospacing="0"/>
        <w:ind w:firstLine="556"/>
        <w:jc w:val="both"/>
        <w:rPr>
          <w:sz w:val="20"/>
          <w:szCs w:val="20"/>
        </w:rPr>
      </w:pPr>
      <w:r>
        <w:rPr>
          <w:sz w:val="20"/>
          <w:szCs w:val="20"/>
        </w:rPr>
        <w:t xml:space="preserve">Effective April 22, 2010, the Committee adopted an Equity Holding Policy, as amended on November 11, 2015 and November 13, 2018, which established guidelines for the level of Partnership equity holdings that members of the Board and our executive officers </w:t>
      </w:r>
      <w:r>
        <w:rPr>
          <w:sz w:val="20"/>
          <w:szCs w:val="20"/>
        </w:rPr>
        <w:t>are expected to maintain.  </w:t>
      </w:r>
    </w:p>
    <w:p w:rsidR="00000000" w:rsidRDefault="00827839">
      <w:pPr>
        <w:pStyle w:val="a3"/>
        <w:spacing w:before="240" w:beforeAutospacing="0" w:after="0" w:afterAutospacing="0"/>
        <w:ind w:firstLine="556"/>
        <w:jc w:val="both"/>
        <w:rPr>
          <w:sz w:val="20"/>
          <w:szCs w:val="20"/>
        </w:rPr>
      </w:pPr>
      <w:r>
        <w:rPr>
          <w:sz w:val="20"/>
          <w:szCs w:val="20"/>
        </w:rPr>
        <w:t>The Partnership’s equity holding requirements for the specified positions were as follows during fiscal 2019:</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947"/>
        <w:gridCol w:w="166"/>
        <w:gridCol w:w="1532"/>
      </w:tblGrid>
      <w:tr w:rsidR="00000000">
        <w:trPr>
          <w:divId w:val="543833239"/>
        </w:trPr>
        <w:tc>
          <w:tcPr>
            <w:tcW w:w="372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Position</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5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Amount</w:t>
            </w:r>
          </w:p>
        </w:tc>
      </w:tr>
      <w:tr w:rsidR="00000000">
        <w:trPr>
          <w:divId w:val="543833239"/>
        </w:trPr>
        <w:tc>
          <w:tcPr>
            <w:tcW w:w="3721"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Member of the Board of Supervisors</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4 x Annual Fee</w:t>
            </w:r>
          </w:p>
        </w:tc>
      </w:tr>
      <w:tr w:rsidR="00000000">
        <w:trPr>
          <w:divId w:val="543833239"/>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President and Chief Executive Officer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5 x Base Salary</w:t>
            </w:r>
          </w:p>
        </w:tc>
      </w:tr>
      <w:tr w:rsidR="00000000">
        <w:trPr>
          <w:divId w:val="543833239"/>
        </w:trPr>
        <w:tc>
          <w:tcPr>
            <w:tcW w:w="372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Chief Financial Officer</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 x Base Salary</w:t>
            </w:r>
          </w:p>
        </w:tc>
      </w:tr>
      <w:tr w:rsidR="00000000">
        <w:trPr>
          <w:divId w:val="543833239"/>
        </w:trPr>
        <w:tc>
          <w:tcPr>
            <w:tcW w:w="372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Chief Operating Officer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 x Base Salary</w:t>
            </w:r>
          </w:p>
        </w:tc>
      </w:tr>
      <w:tr w:rsidR="00000000">
        <w:trPr>
          <w:divId w:val="543833239"/>
        </w:trPr>
        <w:tc>
          <w:tcPr>
            <w:tcW w:w="37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Senior Vice President</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2.5 x Base Salary</w:t>
            </w:r>
          </w:p>
        </w:tc>
      </w:tr>
      <w:tr w:rsidR="00000000">
        <w:trPr>
          <w:divId w:val="543833239"/>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Vice President</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1.5 x Base Salary</w:t>
            </w:r>
          </w:p>
        </w:tc>
      </w:tr>
      <w:tr w:rsidR="00000000">
        <w:trPr>
          <w:divId w:val="543833239"/>
        </w:trPr>
        <w:tc>
          <w:tcPr>
            <w:tcW w:w="37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Assistant Vice President</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 x Bas</w:t>
            </w:r>
            <w:r>
              <w:rPr>
                <w:color w:val="000000"/>
                <w:sz w:val="20"/>
                <w:szCs w:val="20"/>
              </w:rPr>
              <w:t>e Salary</w:t>
            </w:r>
          </w:p>
        </w:tc>
      </w:tr>
      <w:tr w:rsidR="00000000">
        <w:trPr>
          <w:divId w:val="543833239"/>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Managing Director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 x Base Salary</w:t>
            </w:r>
          </w:p>
        </w:tc>
      </w:tr>
    </w:tbl>
    <w:p w:rsidR="00000000" w:rsidRDefault="00827839">
      <w:pPr>
        <w:pStyle w:val="a3"/>
        <w:spacing w:before="240" w:beforeAutospacing="0" w:after="0" w:afterAutospacing="0"/>
        <w:ind w:firstLine="556"/>
        <w:jc w:val="both"/>
        <w:rPr>
          <w:sz w:val="20"/>
          <w:szCs w:val="20"/>
        </w:rPr>
      </w:pPr>
      <w:r>
        <w:rPr>
          <w:sz w:val="20"/>
          <w:szCs w:val="20"/>
        </w:rPr>
        <w:t>As of the January 2, 2019 measurement date, all of our executive officers, including our named executive officers, as well as the members of our Board of Supervisors, were in compliance with our Equity Holding Policy.    </w:t>
      </w:r>
    </w:p>
    <w:p w:rsidR="00000000" w:rsidRDefault="00827839">
      <w:pPr>
        <w:pStyle w:val="a3"/>
        <w:spacing w:before="240" w:beforeAutospacing="0" w:after="0" w:afterAutospacing="0"/>
        <w:ind w:firstLine="556"/>
        <w:jc w:val="both"/>
        <w:rPr>
          <w:sz w:val="20"/>
          <w:szCs w:val="20"/>
        </w:rPr>
      </w:pPr>
      <w:r>
        <w:rPr>
          <w:sz w:val="20"/>
          <w:szCs w:val="20"/>
        </w:rPr>
        <w:t>The Equity Holding Policy can be a</w:t>
      </w:r>
      <w:r>
        <w:rPr>
          <w:sz w:val="20"/>
          <w:szCs w:val="20"/>
        </w:rPr>
        <w:t xml:space="preserve">ccessed through a link on our website at </w:t>
      </w:r>
      <w:r>
        <w:rPr>
          <w:sz w:val="20"/>
          <w:szCs w:val="20"/>
          <w:u w:val="single"/>
        </w:rPr>
        <w:t>www.suburbanpropane.com</w:t>
      </w:r>
      <w:r>
        <w:rPr>
          <w:sz w:val="20"/>
          <w:szCs w:val="20"/>
        </w:rPr>
        <w:t xml:space="preserve"> under the “Investors” tab.</w:t>
      </w:r>
    </w:p>
    <w:p w:rsidR="00000000" w:rsidRDefault="00827839">
      <w:pPr>
        <w:pStyle w:val="a3"/>
        <w:spacing w:before="360" w:beforeAutospacing="0" w:after="0" w:afterAutospacing="0"/>
        <w:jc w:val="both"/>
        <w:rPr>
          <w:i/>
          <w:iCs/>
          <w:color w:val="000000"/>
          <w:sz w:val="20"/>
          <w:szCs w:val="20"/>
        </w:rPr>
      </w:pPr>
      <w:r>
        <w:rPr>
          <w:i/>
          <w:iCs/>
          <w:color w:val="000000"/>
          <w:sz w:val="20"/>
          <w:szCs w:val="20"/>
        </w:rPr>
        <w:t>Incentive Compensation Recoupment Policy</w:t>
      </w:r>
    </w:p>
    <w:p w:rsidR="00000000" w:rsidRDefault="00827839">
      <w:pPr>
        <w:pStyle w:val="a3"/>
        <w:spacing w:before="120" w:beforeAutospacing="0" w:after="0" w:afterAutospacing="0"/>
        <w:ind w:firstLine="556"/>
        <w:jc w:val="both"/>
        <w:rPr>
          <w:sz w:val="20"/>
          <w:szCs w:val="20"/>
        </w:rPr>
      </w:pPr>
      <w:r>
        <w:rPr>
          <w:sz w:val="20"/>
          <w:szCs w:val="20"/>
        </w:rPr>
        <w:t>Upon recommendation by the Committee, on April 25, 2007, the Board of Supervisors adopted an Incentive Compensation Recoupment Policy that permits the Committee to seek reimbursement from certain executives of the Partnership of incentive compensation (i.e</w:t>
      </w:r>
      <w:r>
        <w:rPr>
          <w:sz w:val="20"/>
          <w:szCs w:val="20"/>
        </w:rPr>
        <w:t>., payments made pursuant to the annual cash bonus plan, the Long-Term Incentive Plan, the Restricted Unit Plans and the Distribution Equivalent Rights Plan) paid to those executives in connection with any fiscal year for which there is a significant resta</w:t>
      </w:r>
      <w:r>
        <w:rPr>
          <w:sz w:val="20"/>
          <w:szCs w:val="20"/>
        </w:rPr>
        <w:t>tement of the published financial statements of the Partnership triggered by a material accounting error, which results in less favorable results than those originally reported.  Such reimbursement can be sought from executives even if they were not person</w:t>
      </w:r>
      <w:r>
        <w:rPr>
          <w:sz w:val="20"/>
          <w:szCs w:val="20"/>
        </w:rPr>
        <w:t>ally responsible for the restatement.  In addition to the foregoing, if the Committee determines that any fraud or intentional misconduct by an executive was a contributing factor to the Partnership having to make a significant restatement, then the Commit</w:t>
      </w:r>
      <w:r>
        <w:rPr>
          <w:sz w:val="20"/>
          <w:szCs w:val="20"/>
        </w:rPr>
        <w:t>tee is authorized to take appropriate action against such executive, including disciplinary action, up to, and including, termination, and requiring reimbursement of all, or any part, of the compensation paid to that executive in excess of that executive’s</w:t>
      </w:r>
      <w:r>
        <w:rPr>
          <w:sz w:val="20"/>
          <w:szCs w:val="20"/>
        </w:rPr>
        <w:t xml:space="preserve"> base salary; including cancellation of any unvested restricted units.  </w:t>
      </w:r>
    </w:p>
    <w:p w:rsidR="00000000" w:rsidRDefault="00827839">
      <w:pPr>
        <w:pStyle w:val="a3"/>
        <w:spacing w:before="240" w:beforeAutospacing="0" w:after="0" w:afterAutospacing="0"/>
        <w:ind w:firstLine="556"/>
        <w:jc w:val="both"/>
        <w:rPr>
          <w:sz w:val="20"/>
          <w:szCs w:val="20"/>
        </w:rPr>
      </w:pPr>
      <w:r>
        <w:rPr>
          <w:sz w:val="20"/>
          <w:szCs w:val="20"/>
        </w:rPr>
        <w:t xml:space="preserve">The Incentive Compensation Recoupment Policy is available on our website at </w:t>
      </w:r>
      <w:r>
        <w:rPr>
          <w:sz w:val="20"/>
          <w:szCs w:val="20"/>
          <w:u w:val="single"/>
        </w:rPr>
        <w:t>www.suburbanpropane.com</w:t>
      </w:r>
      <w:r>
        <w:rPr>
          <w:sz w:val="20"/>
          <w:szCs w:val="20"/>
        </w:rPr>
        <w:t xml:space="preserve"> under the “Investors” tab. </w:t>
      </w:r>
    </w:p>
    <w:p w:rsidR="00000000" w:rsidRDefault="00827839">
      <w:pPr>
        <w:pStyle w:val="a3"/>
        <w:spacing w:before="360" w:beforeAutospacing="0" w:after="0" w:afterAutospacing="0"/>
        <w:jc w:val="both"/>
        <w:rPr>
          <w:b/>
          <w:bCs/>
          <w:color w:val="000000"/>
          <w:sz w:val="20"/>
          <w:szCs w:val="20"/>
        </w:rPr>
      </w:pPr>
      <w:r>
        <w:rPr>
          <w:b/>
          <w:bCs/>
          <w:color w:val="000000"/>
          <w:sz w:val="20"/>
          <w:szCs w:val="20"/>
        </w:rPr>
        <w:t>Executive Compensation Philosophy</w:t>
      </w:r>
    </w:p>
    <w:p w:rsidR="00000000" w:rsidRDefault="00827839">
      <w:pPr>
        <w:pStyle w:val="a3"/>
        <w:spacing w:before="120" w:beforeAutospacing="0" w:after="0" w:afterAutospacing="0"/>
        <w:jc w:val="both"/>
        <w:rPr>
          <w:b/>
          <w:bCs/>
          <w:color w:val="000000"/>
          <w:sz w:val="20"/>
          <w:szCs w:val="20"/>
        </w:rPr>
      </w:pPr>
      <w:r>
        <w:rPr>
          <w:b/>
          <w:bCs/>
          <w:color w:val="000000"/>
          <w:sz w:val="20"/>
          <w:szCs w:val="20"/>
        </w:rPr>
        <w:t>Overview</w:t>
      </w:r>
    </w:p>
    <w:p w:rsidR="00000000" w:rsidRDefault="00827839">
      <w:pPr>
        <w:pStyle w:val="a3"/>
        <w:spacing w:before="0" w:beforeAutospacing="0" w:after="0" w:afterAutospacing="0"/>
        <w:jc w:val="both"/>
        <w:rPr>
          <w:sz w:val="12"/>
          <w:szCs w:val="12"/>
        </w:rPr>
      </w:pPr>
      <w:r>
        <w:rPr>
          <w:sz w:val="12"/>
          <w:szCs w:val="12"/>
        </w:rPr>
        <w:t> </w:t>
      </w:r>
    </w:p>
    <w:p w:rsidR="00000000" w:rsidRDefault="00827839">
      <w:pPr>
        <w:pStyle w:val="a3"/>
        <w:spacing w:before="0" w:beforeAutospacing="0" w:after="0" w:afterAutospacing="0"/>
        <w:ind w:firstLine="556"/>
        <w:jc w:val="both"/>
        <w:rPr>
          <w:sz w:val="20"/>
          <w:szCs w:val="20"/>
        </w:rPr>
      </w:pPr>
      <w:r>
        <w:rPr>
          <w:sz w:val="20"/>
          <w:szCs w:val="20"/>
        </w:rPr>
        <w:t>Our execut</w:t>
      </w:r>
      <w:r>
        <w:rPr>
          <w:sz w:val="20"/>
          <w:szCs w:val="20"/>
        </w:rPr>
        <w:t>ive compensation program is underpinned by two core objectives:</w:t>
      </w:r>
    </w:p>
    <w:p w:rsidR="00000000" w:rsidRDefault="00827839">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787651359"/>
        </w:trPr>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0" w:afterAutospacing="0"/>
              <w:jc w:val="both"/>
              <w:rPr>
                <w:color w:val="000000"/>
                <w:sz w:val="20"/>
                <w:szCs w:val="20"/>
              </w:rPr>
            </w:pPr>
            <w:r>
              <w:rPr>
                <w:color w:val="000000"/>
                <w:sz w:val="20"/>
                <w:szCs w:val="20"/>
              </w:rPr>
              <w:t>To attract and retain talented executives who have the skills and experience required to achieve our goals; and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To align the short-term and long-term interests of our executive officers with those of our Unitholders.</w:t>
            </w:r>
          </w:p>
        </w:tc>
      </w:tr>
    </w:tbl>
    <w:p w:rsidR="00000000" w:rsidRDefault="00827839">
      <w:pPr>
        <w:pStyle w:val="a3"/>
        <w:spacing w:before="240" w:beforeAutospacing="0" w:after="0" w:afterAutospacing="0"/>
        <w:ind w:firstLine="556"/>
        <w:jc w:val="both"/>
        <w:rPr>
          <w:sz w:val="20"/>
          <w:szCs w:val="20"/>
        </w:rPr>
      </w:pPr>
      <w:r>
        <w:rPr>
          <w:sz w:val="20"/>
          <w:szCs w:val="20"/>
        </w:rPr>
        <w:t>We accomplish these objectives</w:t>
      </w:r>
      <w:r>
        <w:rPr>
          <w:sz w:val="20"/>
          <w:szCs w:val="20"/>
        </w:rPr>
        <w:t xml:space="preserve"> by providing our executive officers with compensation packages that provide a competitive base salary combined with the opportunity to earn both short-term and long-term cash incentives based on the achievement of short-term and long-term performance obje</w:t>
      </w:r>
      <w:r>
        <w:rPr>
          <w:sz w:val="20"/>
          <w:szCs w:val="20"/>
        </w:rPr>
        <w:t>ctives under a pay-for-performance compensation philosophy.  Recognizing that certain external factors, such as the severity and unpredictability of winter weather patterns, may have a significant influence on annual financial performance in any given year</w:t>
      </w:r>
      <w:r>
        <w:rPr>
          <w:sz w:val="20"/>
          <w:szCs w:val="20"/>
        </w:rPr>
        <w:t>, the Committee evaluates additional factors in determining the amount of incentive compensation earned.  We also provide our executive officers with equity-based compensation opportunities that are intended to align their interests with those of our Unith</w:t>
      </w:r>
      <w:r>
        <w:rPr>
          <w:sz w:val="20"/>
          <w:szCs w:val="20"/>
        </w:rPr>
        <w:t xml:space="preserve">olders.  The various components of compensation provided to our executive officers are specifically linked to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52</w:t>
      </w:r>
    </w:p>
    <w:p w:rsidR="00000000" w:rsidRDefault="00827839">
      <w:pPr>
        <w:rPr>
          <w:rFonts w:eastAsia="Times New Roman"/>
        </w:rPr>
      </w:pPr>
      <w:r>
        <w:rPr>
          <w:rFonts w:eastAsia="Times New Roman"/>
        </w:rPr>
        <w:pict>
          <v:rect id="_x0000_i107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both"/>
        <w:rPr>
          <w:sz w:val="20"/>
          <w:szCs w:val="20"/>
        </w:rPr>
      </w:pPr>
      <w:r>
        <w:rPr>
          <w:sz w:val="20"/>
          <w:szCs w:val="20"/>
        </w:rPr>
        <w:t>either short-term or long-term performance measures, and encourage equity ownership in the Partnership.  Therefore, our executive compensation packages are designed to achieve our overall goal of sustainable, profitable growth by rewarding our executive of</w:t>
      </w:r>
      <w:r>
        <w:rPr>
          <w:sz w:val="20"/>
          <w:szCs w:val="20"/>
        </w:rPr>
        <w:t>ficers for behaviors that facilitate our achievement of this goal.</w:t>
      </w:r>
    </w:p>
    <w:p w:rsidR="00000000" w:rsidRDefault="00827839">
      <w:pPr>
        <w:pStyle w:val="a3"/>
        <w:spacing w:before="240" w:beforeAutospacing="0" w:after="0" w:afterAutospacing="0"/>
        <w:ind w:firstLine="556"/>
        <w:jc w:val="both"/>
        <w:rPr>
          <w:sz w:val="20"/>
          <w:szCs w:val="20"/>
        </w:rPr>
      </w:pPr>
      <w:r>
        <w:rPr>
          <w:sz w:val="20"/>
          <w:szCs w:val="20"/>
        </w:rPr>
        <w:t>The principal components of the compensation we provide to our named executive officers are as follows: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095"/>
        <w:gridCol w:w="88"/>
        <w:gridCol w:w="2687"/>
        <w:gridCol w:w="88"/>
        <w:gridCol w:w="2687"/>
      </w:tblGrid>
      <w:tr w:rsidR="00000000">
        <w:trPr>
          <w:divId w:val="595940025"/>
        </w:trPr>
        <w:tc>
          <w:tcPr>
            <w:tcW w:w="824"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Component</w:t>
            </w:r>
          </w:p>
        </w:tc>
        <w:tc>
          <w:tcPr>
            <w:tcW w:w="6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02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Purpose</w:t>
            </w:r>
          </w:p>
        </w:tc>
        <w:tc>
          <w:tcPr>
            <w:tcW w:w="6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202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Features</w:t>
            </w:r>
          </w:p>
        </w:tc>
      </w:tr>
      <w:tr w:rsidR="00000000">
        <w:trPr>
          <w:divId w:val="595940025"/>
        </w:trPr>
        <w:tc>
          <w:tcPr>
            <w:tcW w:w="824"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Base Salary</w:t>
            </w:r>
          </w:p>
        </w:tc>
        <w:tc>
          <w:tcPr>
            <w:tcW w:w="6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021"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To reward individual performance,</w:t>
            </w:r>
          </w:p>
          <w:p w:rsidR="00000000" w:rsidRDefault="00827839">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r>
              <w:rPr>
                <w:rFonts w:ascii="Calibri" w:hAnsi="Calibri" w:cs="Calibri"/>
                <w:color w:val="000000"/>
                <w:sz w:val="20"/>
                <w:szCs w:val="20"/>
              </w:rPr>
              <w:t> </w:t>
            </w:r>
            <w:r>
              <w:rPr>
                <w:color w:val="000000"/>
                <w:sz w:val="20"/>
                <w:szCs w:val="20"/>
              </w:rPr>
              <w:t xml:space="preserve"> experience and scope of responsibility</w:t>
            </w:r>
          </w:p>
          <w:p w:rsidR="00000000" w:rsidRDefault="00827839">
            <w:pPr>
              <w:pStyle w:val="a3"/>
              <w:spacing w:before="0" w:beforeAutospacing="0" w:after="0" w:afterAutospacing="0"/>
              <w:rPr>
                <w:color w:val="000000"/>
                <w:sz w:val="20"/>
                <w:szCs w:val="20"/>
              </w:rPr>
            </w:pPr>
            <w:r>
              <w:rPr>
                <w:color w:val="000000"/>
                <w:sz w:val="20"/>
                <w:szCs w:val="20"/>
              </w:rPr>
              <w:t>• To be competitive with market pay</w:t>
            </w:r>
          </w:p>
          <w:p w:rsidR="00000000" w:rsidRDefault="00827839">
            <w:pPr>
              <w:pStyle w:val="a3"/>
              <w:spacing w:before="0" w:beforeAutospacing="0" w:after="0" w:afterAutospacing="0"/>
              <w:rPr>
                <w:color w:val="000000"/>
                <w:sz w:val="20"/>
                <w:szCs w:val="20"/>
              </w:rPr>
            </w:pPr>
            <w:r>
              <w:rPr>
                <w:color w:val="000000"/>
                <w:sz w:val="20"/>
                <w:szCs w:val="20"/>
              </w:rPr>
              <w:t>   practices</w:t>
            </w:r>
          </w:p>
        </w:tc>
        <w:tc>
          <w:tcPr>
            <w:tcW w:w="6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021"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Reviewed and approved annually</w:t>
            </w:r>
          </w:p>
          <w:p w:rsidR="00000000" w:rsidRDefault="00827839">
            <w:pPr>
              <w:pStyle w:val="a3"/>
              <w:spacing w:before="0" w:beforeAutospacing="0" w:after="0" w:afterAutospacing="0"/>
              <w:rPr>
                <w:color w:val="000000"/>
                <w:sz w:val="20"/>
                <w:szCs w:val="20"/>
              </w:rPr>
            </w:pPr>
            <w:r>
              <w:rPr>
                <w:color w:val="000000"/>
                <w:sz w:val="20"/>
                <w:szCs w:val="20"/>
              </w:rPr>
              <w:t>• Market benchmarked</w:t>
            </w:r>
          </w:p>
          <w:p w:rsidR="00000000" w:rsidRDefault="00827839">
            <w:pPr>
              <w:pStyle w:val="a3"/>
              <w:spacing w:before="0" w:beforeAutospacing="0" w:after="0" w:afterAutospacing="0"/>
              <w:rPr>
                <w:color w:val="000000"/>
                <w:sz w:val="20"/>
                <w:szCs w:val="20"/>
              </w:rPr>
            </w:pPr>
            <w:r>
              <w:rPr>
                <w:color w:val="000000"/>
                <w:sz w:val="20"/>
                <w:szCs w:val="20"/>
              </w:rPr>
              <w:t>• Mean market salary data is considered in</w:t>
            </w:r>
          </w:p>
          <w:p w:rsidR="00000000" w:rsidRDefault="00827839">
            <w:pPr>
              <w:pStyle w:val="a3"/>
              <w:spacing w:before="0" w:beforeAutospacing="0" w:after="0" w:afterAutospacing="0"/>
              <w:rPr>
                <w:color w:val="000000"/>
                <w:sz w:val="20"/>
                <w:szCs w:val="20"/>
              </w:rPr>
            </w:pPr>
            <w:r>
              <w:rPr>
                <w:color w:val="000000"/>
                <w:sz w:val="20"/>
                <w:szCs w:val="20"/>
              </w:rPr>
              <w:t>    determining reasonable levels</w:t>
            </w:r>
          </w:p>
        </w:tc>
      </w:tr>
      <w:tr w:rsidR="00000000">
        <w:trPr>
          <w:divId w:val="595940025"/>
        </w:trPr>
        <w:tc>
          <w:tcPr>
            <w:tcW w:w="82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Annual cash incentive</w:t>
            </w:r>
          </w:p>
        </w:tc>
        <w:tc>
          <w:tcPr>
            <w:tcW w:w="6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0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To drive and reward the delivery of</w:t>
            </w:r>
          </w:p>
          <w:p w:rsidR="00000000" w:rsidRDefault="00827839">
            <w:pPr>
              <w:pStyle w:val="a3"/>
              <w:spacing w:before="0" w:beforeAutospacing="0" w:after="0" w:afterAutospacing="0"/>
              <w:rPr>
                <w:color w:val="000000"/>
                <w:sz w:val="20"/>
                <w:szCs w:val="20"/>
              </w:rPr>
            </w:pPr>
            <w:r>
              <w:rPr>
                <w:color w:val="000000"/>
                <w:sz w:val="20"/>
                <w:szCs w:val="20"/>
              </w:rPr>
              <w:t>   financial and operating performance</w:t>
            </w:r>
          </w:p>
          <w:p w:rsidR="00000000" w:rsidRDefault="00827839">
            <w:pPr>
              <w:pStyle w:val="a3"/>
              <w:spacing w:before="0" w:beforeAutospacing="0" w:after="0" w:afterAutospacing="0"/>
              <w:rPr>
                <w:color w:val="000000"/>
                <w:sz w:val="20"/>
                <w:szCs w:val="20"/>
              </w:rPr>
            </w:pPr>
            <w:r>
              <w:rPr>
                <w:color w:val="000000"/>
                <w:sz w:val="20"/>
                <w:szCs w:val="20"/>
              </w:rPr>
              <w:t>   during a particular fiscal year</w:t>
            </w:r>
          </w:p>
        </w:tc>
        <w:tc>
          <w:tcPr>
            <w:tcW w:w="6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0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Paid in cash</w:t>
            </w:r>
          </w:p>
          <w:p w:rsidR="00000000" w:rsidRDefault="00827839">
            <w:pPr>
              <w:pStyle w:val="a3"/>
              <w:spacing w:before="0" w:beforeAutospacing="0" w:after="0" w:afterAutospacing="0"/>
              <w:rPr>
                <w:color w:val="000000"/>
                <w:sz w:val="20"/>
                <w:szCs w:val="20"/>
              </w:rPr>
            </w:pPr>
            <w:r>
              <w:rPr>
                <w:color w:val="000000"/>
                <w:sz w:val="20"/>
                <w:szCs w:val="20"/>
              </w:rPr>
              <w:t>• Based on annual EBITDA</w:t>
            </w:r>
          </w:p>
          <w:p w:rsidR="00000000" w:rsidRDefault="00827839">
            <w:pPr>
              <w:pStyle w:val="a3"/>
              <w:spacing w:before="0" w:beforeAutospacing="0" w:after="0" w:afterAutospacing="0"/>
              <w:rPr>
                <w:color w:val="000000"/>
                <w:sz w:val="20"/>
                <w:szCs w:val="20"/>
              </w:rPr>
            </w:pPr>
            <w:r>
              <w:rPr>
                <w:color w:val="000000"/>
                <w:sz w:val="20"/>
                <w:szCs w:val="20"/>
              </w:rPr>
              <w:t>    performance compared to budgeted</w:t>
            </w:r>
          </w:p>
          <w:p w:rsidR="00000000" w:rsidRDefault="00827839">
            <w:pPr>
              <w:pStyle w:val="a3"/>
              <w:spacing w:before="0" w:beforeAutospacing="0" w:after="0" w:afterAutospacing="0"/>
              <w:rPr>
                <w:color w:val="000000"/>
                <w:sz w:val="20"/>
                <w:szCs w:val="20"/>
              </w:rPr>
            </w:pPr>
            <w:r>
              <w:rPr>
                <w:color w:val="000000"/>
                <w:sz w:val="20"/>
                <w:szCs w:val="20"/>
              </w:rPr>
              <w:t>    EBITDA and other qualitative factors</w:t>
            </w:r>
          </w:p>
        </w:tc>
      </w:tr>
      <w:tr w:rsidR="00000000">
        <w:trPr>
          <w:divId w:val="595940025"/>
        </w:trPr>
        <w:tc>
          <w:tcPr>
            <w:tcW w:w="82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Long-term incentives</w:t>
            </w:r>
          </w:p>
        </w:tc>
        <w:tc>
          <w:tcPr>
            <w:tcW w:w="6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0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To ensure alignment of our executive</w:t>
            </w:r>
          </w:p>
          <w:p w:rsidR="00000000" w:rsidRDefault="00827839">
            <w:pPr>
              <w:pStyle w:val="a3"/>
              <w:spacing w:before="0" w:beforeAutospacing="0" w:after="0" w:afterAutospacing="0"/>
              <w:rPr>
                <w:color w:val="000000"/>
                <w:sz w:val="20"/>
                <w:szCs w:val="20"/>
              </w:rPr>
            </w:pPr>
            <w:r>
              <w:rPr>
                <w:color w:val="000000"/>
                <w:sz w:val="20"/>
                <w:szCs w:val="20"/>
              </w:rPr>
              <w:t>    officers' interests with the long-term</w:t>
            </w:r>
          </w:p>
          <w:p w:rsidR="00000000" w:rsidRDefault="00827839">
            <w:pPr>
              <w:pStyle w:val="a3"/>
              <w:spacing w:before="0" w:beforeAutospacing="0" w:after="0" w:afterAutospacing="0"/>
              <w:rPr>
                <w:color w:val="000000"/>
                <w:sz w:val="20"/>
                <w:szCs w:val="20"/>
              </w:rPr>
            </w:pPr>
            <w:r>
              <w:rPr>
                <w:color w:val="000000"/>
                <w:sz w:val="20"/>
                <w:szCs w:val="20"/>
              </w:rPr>
              <w:t>    interests of our Unitholders</w:t>
            </w:r>
          </w:p>
          <w:p w:rsidR="00000000" w:rsidRDefault="00827839">
            <w:pPr>
              <w:pStyle w:val="a3"/>
              <w:spacing w:before="0" w:beforeAutospacing="0" w:after="0" w:afterAutospacing="0"/>
              <w:rPr>
                <w:color w:val="000000"/>
                <w:sz w:val="20"/>
                <w:szCs w:val="20"/>
              </w:rPr>
            </w:pPr>
            <w:r>
              <w:rPr>
                <w:color w:val="000000"/>
                <w:sz w:val="20"/>
                <w:szCs w:val="20"/>
              </w:rPr>
              <w:t>• To reward activities and practices that</w:t>
            </w:r>
          </w:p>
          <w:p w:rsidR="00000000" w:rsidRDefault="00827839">
            <w:pPr>
              <w:pStyle w:val="a3"/>
              <w:spacing w:before="0" w:beforeAutospacing="0" w:after="0" w:afterAutospacing="0"/>
              <w:rPr>
                <w:color w:val="000000"/>
                <w:sz w:val="20"/>
                <w:szCs w:val="20"/>
              </w:rPr>
            </w:pPr>
            <w:r>
              <w:rPr>
                <w:color w:val="000000"/>
                <w:sz w:val="20"/>
                <w:szCs w:val="20"/>
              </w:rPr>
              <w:t>    are conducive to sustainable, profitable</w:t>
            </w:r>
          </w:p>
          <w:p w:rsidR="00000000" w:rsidRDefault="00827839">
            <w:pPr>
              <w:pStyle w:val="a3"/>
              <w:spacing w:before="0" w:beforeAutospacing="0" w:after="0" w:afterAutospacing="0"/>
              <w:rPr>
                <w:color w:val="000000"/>
                <w:sz w:val="20"/>
                <w:szCs w:val="20"/>
              </w:rPr>
            </w:pPr>
            <w:r>
              <w:rPr>
                <w:color w:val="000000"/>
                <w:sz w:val="20"/>
                <w:szCs w:val="20"/>
              </w:rPr>
              <w:t>    </w:t>
            </w:r>
            <w:r>
              <w:rPr>
                <w:color w:val="000000"/>
                <w:sz w:val="20"/>
                <w:szCs w:val="20"/>
              </w:rPr>
              <w:t>growth and long-term value creation</w:t>
            </w:r>
          </w:p>
          <w:p w:rsidR="00000000" w:rsidRDefault="00827839">
            <w:pPr>
              <w:pStyle w:val="a3"/>
              <w:spacing w:before="0" w:beforeAutospacing="0" w:after="0" w:afterAutospacing="0"/>
              <w:rPr>
                <w:color w:val="000000"/>
                <w:sz w:val="20"/>
                <w:szCs w:val="20"/>
              </w:rPr>
            </w:pPr>
            <w:r>
              <w:rPr>
                <w:color w:val="000000"/>
                <w:sz w:val="20"/>
                <w:szCs w:val="20"/>
              </w:rPr>
              <w:t>• To attract and retain skilled individuals</w:t>
            </w:r>
          </w:p>
        </w:tc>
        <w:tc>
          <w:tcPr>
            <w:tcW w:w="6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0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Participants are selected by the</w:t>
            </w:r>
          </w:p>
          <w:p w:rsidR="00000000" w:rsidRDefault="00827839">
            <w:pPr>
              <w:pStyle w:val="a3"/>
              <w:spacing w:before="0" w:beforeAutospacing="0" w:after="0" w:afterAutospacing="0"/>
              <w:rPr>
                <w:color w:val="000000"/>
                <w:sz w:val="20"/>
                <w:szCs w:val="20"/>
              </w:rPr>
            </w:pPr>
            <w:r>
              <w:rPr>
                <w:color w:val="000000"/>
                <w:sz w:val="20"/>
                <w:szCs w:val="20"/>
              </w:rPr>
              <w:t>   Committee</w:t>
            </w:r>
          </w:p>
          <w:p w:rsidR="00000000" w:rsidRDefault="00827839">
            <w:pPr>
              <w:pStyle w:val="a3"/>
              <w:spacing w:before="0" w:beforeAutospacing="0" w:after="0" w:afterAutospacing="0"/>
              <w:rPr>
                <w:color w:val="000000"/>
                <w:sz w:val="20"/>
                <w:szCs w:val="20"/>
              </w:rPr>
            </w:pPr>
            <w:r>
              <w:rPr>
                <w:color w:val="000000"/>
                <w:sz w:val="20"/>
                <w:szCs w:val="20"/>
              </w:rPr>
              <w:t>• Annual awards of phantom units settled</w:t>
            </w:r>
          </w:p>
          <w:p w:rsidR="00000000" w:rsidRDefault="00827839">
            <w:pPr>
              <w:pStyle w:val="a3"/>
              <w:spacing w:before="0" w:beforeAutospacing="0" w:after="0" w:afterAutospacing="0"/>
              <w:rPr>
                <w:color w:val="000000"/>
                <w:sz w:val="20"/>
                <w:szCs w:val="20"/>
              </w:rPr>
            </w:pPr>
            <w:r>
              <w:rPr>
                <w:color w:val="000000"/>
                <w:sz w:val="20"/>
                <w:szCs w:val="20"/>
              </w:rPr>
              <w:t>   in cash</w:t>
            </w:r>
          </w:p>
          <w:p w:rsidR="00000000" w:rsidRDefault="00827839">
            <w:pPr>
              <w:pStyle w:val="a3"/>
              <w:spacing w:before="0" w:beforeAutospacing="0" w:after="0" w:afterAutospacing="0"/>
              <w:rPr>
                <w:color w:val="000000"/>
                <w:sz w:val="20"/>
                <w:szCs w:val="20"/>
              </w:rPr>
            </w:pPr>
            <w:r>
              <w:rPr>
                <w:color w:val="000000"/>
                <w:sz w:val="20"/>
                <w:szCs w:val="20"/>
              </w:rPr>
              <w:t>• Measured over a three-year period based</w:t>
            </w:r>
          </w:p>
          <w:p w:rsidR="00000000" w:rsidRDefault="00827839">
            <w:pPr>
              <w:pStyle w:val="a3"/>
              <w:spacing w:before="0" w:beforeAutospacing="0" w:after="0" w:afterAutospacing="0"/>
              <w:rPr>
                <w:color w:val="000000"/>
                <w:sz w:val="20"/>
                <w:szCs w:val="20"/>
              </w:rPr>
            </w:pPr>
            <w:r>
              <w:rPr>
                <w:color w:val="000000"/>
                <w:sz w:val="20"/>
                <w:szCs w:val="20"/>
              </w:rPr>
              <w:t xml:space="preserve">    on the level of our average </w:t>
            </w:r>
            <w:r>
              <w:rPr>
                <w:color w:val="000000"/>
                <w:sz w:val="20"/>
                <w:szCs w:val="20"/>
              </w:rPr>
              <w:t>distributable</w:t>
            </w:r>
          </w:p>
          <w:p w:rsidR="00000000" w:rsidRDefault="00827839">
            <w:pPr>
              <w:pStyle w:val="a3"/>
              <w:spacing w:before="0" w:beforeAutospacing="0" w:after="0" w:afterAutospacing="0"/>
              <w:rPr>
                <w:color w:val="000000"/>
                <w:sz w:val="20"/>
                <w:szCs w:val="20"/>
              </w:rPr>
            </w:pPr>
            <w:r>
              <w:rPr>
                <w:color w:val="000000"/>
                <w:sz w:val="20"/>
                <w:szCs w:val="20"/>
              </w:rPr>
              <w:t>    cash flow over such three-year</w:t>
            </w:r>
          </w:p>
          <w:p w:rsidR="00000000" w:rsidRDefault="00827839">
            <w:pPr>
              <w:pStyle w:val="a3"/>
              <w:spacing w:before="0" w:beforeAutospacing="0" w:after="0" w:afterAutospacing="0"/>
              <w:rPr>
                <w:color w:val="000000"/>
                <w:sz w:val="20"/>
                <w:szCs w:val="20"/>
              </w:rPr>
            </w:pPr>
            <w:r>
              <w:rPr>
                <w:color w:val="000000"/>
                <w:sz w:val="20"/>
                <w:szCs w:val="20"/>
              </w:rPr>
              <w:t>    measurement period</w:t>
            </w:r>
          </w:p>
        </w:tc>
      </w:tr>
      <w:tr w:rsidR="00000000">
        <w:trPr>
          <w:divId w:val="595940025"/>
        </w:trPr>
        <w:tc>
          <w:tcPr>
            <w:tcW w:w="82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Restricted units</w:t>
            </w:r>
          </w:p>
        </w:tc>
        <w:tc>
          <w:tcPr>
            <w:tcW w:w="6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0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To retain the services of the recipient</w:t>
            </w:r>
          </w:p>
          <w:p w:rsidR="00000000" w:rsidRDefault="00827839">
            <w:pPr>
              <w:pStyle w:val="a3"/>
              <w:spacing w:before="0" w:beforeAutospacing="0" w:after="0" w:afterAutospacing="0"/>
              <w:rPr>
                <w:color w:val="000000"/>
                <w:sz w:val="20"/>
                <w:szCs w:val="20"/>
              </w:rPr>
            </w:pPr>
            <w:r>
              <w:rPr>
                <w:color w:val="000000"/>
                <w:sz w:val="20"/>
                <w:szCs w:val="20"/>
              </w:rPr>
              <w:t>    over the vesting period</w:t>
            </w:r>
          </w:p>
          <w:p w:rsidR="00000000" w:rsidRDefault="00827839">
            <w:pPr>
              <w:pStyle w:val="a3"/>
              <w:spacing w:before="0" w:beforeAutospacing="0" w:after="0" w:afterAutospacing="0"/>
              <w:rPr>
                <w:color w:val="000000"/>
                <w:sz w:val="20"/>
                <w:szCs w:val="20"/>
              </w:rPr>
            </w:pPr>
            <w:r>
              <w:rPr>
                <w:color w:val="000000"/>
                <w:sz w:val="20"/>
                <w:szCs w:val="20"/>
              </w:rPr>
              <w:t>• To further align the long-term interests</w:t>
            </w:r>
          </w:p>
          <w:p w:rsidR="00000000" w:rsidRDefault="00827839">
            <w:pPr>
              <w:pStyle w:val="a3"/>
              <w:spacing w:before="0" w:beforeAutospacing="0" w:after="0" w:afterAutospacing="0"/>
              <w:rPr>
                <w:color w:val="000000"/>
                <w:sz w:val="20"/>
                <w:szCs w:val="20"/>
              </w:rPr>
            </w:pPr>
            <w:r>
              <w:rPr>
                <w:color w:val="000000"/>
                <w:sz w:val="20"/>
                <w:szCs w:val="20"/>
              </w:rPr>
              <w:t>    of the recipient with the long-term</w:t>
            </w:r>
          </w:p>
          <w:p w:rsidR="00000000" w:rsidRDefault="00827839">
            <w:pPr>
              <w:pStyle w:val="a3"/>
              <w:spacing w:before="0" w:beforeAutospacing="0" w:after="0" w:afterAutospacing="0"/>
              <w:rPr>
                <w:color w:val="000000"/>
                <w:sz w:val="20"/>
                <w:szCs w:val="20"/>
              </w:rPr>
            </w:pPr>
            <w:r>
              <w:rPr>
                <w:color w:val="000000"/>
                <w:sz w:val="20"/>
                <w:szCs w:val="20"/>
              </w:rPr>
              <w:t>    interes</w:t>
            </w:r>
            <w:r>
              <w:rPr>
                <w:color w:val="000000"/>
                <w:sz w:val="20"/>
                <w:szCs w:val="20"/>
              </w:rPr>
              <w:t>ts of our Unitholders through</w:t>
            </w:r>
          </w:p>
          <w:p w:rsidR="00000000" w:rsidRDefault="00827839">
            <w:pPr>
              <w:pStyle w:val="a3"/>
              <w:spacing w:before="0" w:beforeAutospacing="0" w:after="0" w:afterAutospacing="0"/>
              <w:rPr>
                <w:color w:val="000000"/>
                <w:sz w:val="20"/>
                <w:szCs w:val="20"/>
              </w:rPr>
            </w:pPr>
            <w:r>
              <w:rPr>
                <w:color w:val="000000"/>
                <w:sz w:val="20"/>
                <w:szCs w:val="20"/>
              </w:rPr>
              <w:t>    encouragement of equity ownership</w:t>
            </w:r>
          </w:p>
          <w:p w:rsidR="00000000" w:rsidRDefault="00827839">
            <w:pPr>
              <w:pStyle w:val="a3"/>
              <w:spacing w:before="0" w:beforeAutospacing="0" w:after="0" w:afterAutospacing="0"/>
              <w:rPr>
                <w:color w:val="000000"/>
                <w:sz w:val="20"/>
                <w:szCs w:val="20"/>
              </w:rPr>
            </w:pPr>
            <w:r>
              <w:rPr>
                <w:color w:val="000000"/>
                <w:sz w:val="20"/>
                <w:szCs w:val="20"/>
              </w:rPr>
              <w:t>• To mitigate potential shortfalls</w:t>
            </w:r>
          </w:p>
          <w:p w:rsidR="00000000" w:rsidRDefault="00827839">
            <w:pPr>
              <w:pStyle w:val="a3"/>
              <w:spacing w:before="0" w:beforeAutospacing="0" w:after="0" w:afterAutospacing="0"/>
              <w:rPr>
                <w:color w:val="000000"/>
                <w:sz w:val="20"/>
                <w:szCs w:val="20"/>
              </w:rPr>
            </w:pPr>
            <w:r>
              <w:rPr>
                <w:color w:val="000000"/>
                <w:sz w:val="20"/>
                <w:szCs w:val="20"/>
              </w:rPr>
              <w:t>    in total cash compensation of our</w:t>
            </w:r>
          </w:p>
          <w:p w:rsidR="00000000" w:rsidRDefault="00827839">
            <w:pPr>
              <w:pStyle w:val="a3"/>
              <w:spacing w:before="0" w:beforeAutospacing="0" w:after="0" w:afterAutospacing="0"/>
              <w:rPr>
                <w:color w:val="000000"/>
                <w:sz w:val="20"/>
                <w:szCs w:val="20"/>
              </w:rPr>
            </w:pPr>
            <w:r>
              <w:rPr>
                <w:color w:val="000000"/>
                <w:sz w:val="20"/>
                <w:szCs w:val="20"/>
              </w:rPr>
              <w:t>    executive officers when compared</w:t>
            </w:r>
          </w:p>
          <w:p w:rsidR="00000000" w:rsidRDefault="00827839">
            <w:pPr>
              <w:pStyle w:val="a3"/>
              <w:spacing w:before="0" w:beforeAutospacing="0" w:after="0" w:afterAutospacing="0"/>
              <w:rPr>
                <w:color w:val="000000"/>
                <w:sz w:val="20"/>
                <w:szCs w:val="20"/>
              </w:rPr>
            </w:pPr>
            <w:r>
              <w:rPr>
                <w:color w:val="000000"/>
                <w:sz w:val="20"/>
                <w:szCs w:val="20"/>
              </w:rPr>
              <w:t>    </w:t>
            </w:r>
            <w:r>
              <w:rPr>
                <w:color w:val="000000"/>
                <w:sz w:val="20"/>
                <w:szCs w:val="20"/>
              </w:rPr>
              <w:t>to benchmarked total cash compensation</w:t>
            </w:r>
          </w:p>
          <w:p w:rsidR="00000000" w:rsidRDefault="00827839">
            <w:pPr>
              <w:pStyle w:val="a3"/>
              <w:spacing w:before="0" w:beforeAutospacing="0" w:after="0" w:afterAutospacing="0"/>
              <w:rPr>
                <w:color w:val="000000"/>
                <w:sz w:val="20"/>
                <w:szCs w:val="20"/>
              </w:rPr>
            </w:pPr>
            <w:r>
              <w:rPr>
                <w:color w:val="000000"/>
                <w:sz w:val="20"/>
                <w:szCs w:val="20"/>
              </w:rPr>
              <w:t>• To provide an adequate compensation</w:t>
            </w:r>
          </w:p>
          <w:p w:rsidR="00000000" w:rsidRDefault="00827839">
            <w:pPr>
              <w:pStyle w:val="a3"/>
              <w:spacing w:before="0" w:beforeAutospacing="0" w:after="0" w:afterAutospacing="0"/>
              <w:rPr>
                <w:color w:val="000000"/>
                <w:sz w:val="20"/>
                <w:szCs w:val="20"/>
              </w:rPr>
            </w:pPr>
            <w:r>
              <w:rPr>
                <w:color w:val="000000"/>
                <w:sz w:val="20"/>
                <w:szCs w:val="20"/>
              </w:rPr>
              <w:t>    package in connection with an</w:t>
            </w:r>
          </w:p>
          <w:p w:rsidR="00000000" w:rsidRDefault="00827839">
            <w:pPr>
              <w:pStyle w:val="a3"/>
              <w:spacing w:before="0" w:beforeAutospacing="0" w:after="0" w:afterAutospacing="0"/>
              <w:rPr>
                <w:color w:val="000000"/>
                <w:sz w:val="20"/>
                <w:szCs w:val="20"/>
              </w:rPr>
            </w:pPr>
            <w:r>
              <w:rPr>
                <w:color w:val="000000"/>
                <w:sz w:val="20"/>
                <w:szCs w:val="20"/>
              </w:rPr>
              <w:t>    internal promotion</w:t>
            </w:r>
          </w:p>
          <w:p w:rsidR="00000000" w:rsidRDefault="00827839">
            <w:pPr>
              <w:pStyle w:val="a3"/>
              <w:spacing w:before="0" w:beforeAutospacing="0" w:after="0" w:afterAutospacing="0"/>
              <w:rPr>
                <w:color w:val="000000"/>
                <w:sz w:val="20"/>
                <w:szCs w:val="20"/>
              </w:rPr>
            </w:pPr>
            <w:r>
              <w:rPr>
                <w:color w:val="000000"/>
                <w:sz w:val="20"/>
                <w:szCs w:val="20"/>
              </w:rPr>
              <w:t>• To reward outstanding performance</w:t>
            </w:r>
          </w:p>
        </w:tc>
        <w:tc>
          <w:tcPr>
            <w:tcW w:w="6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0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Participants are selected by the</w:t>
            </w:r>
          </w:p>
          <w:p w:rsidR="00000000" w:rsidRDefault="00827839">
            <w:pPr>
              <w:pStyle w:val="a3"/>
              <w:spacing w:before="0" w:beforeAutospacing="0" w:after="0" w:afterAutospacing="0"/>
              <w:rPr>
                <w:color w:val="000000"/>
                <w:sz w:val="20"/>
                <w:szCs w:val="20"/>
              </w:rPr>
            </w:pPr>
            <w:r>
              <w:rPr>
                <w:color w:val="000000"/>
                <w:sz w:val="20"/>
                <w:szCs w:val="20"/>
              </w:rPr>
              <w:t>   Committee</w:t>
            </w:r>
          </w:p>
          <w:p w:rsidR="00000000" w:rsidRDefault="00827839">
            <w:pPr>
              <w:pStyle w:val="a3"/>
              <w:spacing w:before="0" w:beforeAutospacing="0" w:after="0" w:afterAutospacing="0"/>
              <w:rPr>
                <w:color w:val="000000"/>
                <w:sz w:val="20"/>
                <w:szCs w:val="20"/>
              </w:rPr>
            </w:pPr>
            <w:r>
              <w:rPr>
                <w:color w:val="000000"/>
                <w:sz w:val="20"/>
                <w:szCs w:val="20"/>
              </w:rPr>
              <w:t>• No pre-determined frequency or amo</w:t>
            </w:r>
            <w:r>
              <w:rPr>
                <w:color w:val="000000"/>
                <w:sz w:val="20"/>
                <w:szCs w:val="20"/>
              </w:rPr>
              <w:t>unts</w:t>
            </w:r>
          </w:p>
          <w:p w:rsidR="00000000" w:rsidRDefault="00827839">
            <w:pPr>
              <w:pStyle w:val="a3"/>
              <w:spacing w:before="0" w:beforeAutospacing="0" w:after="0" w:afterAutospacing="0"/>
              <w:rPr>
                <w:color w:val="000000"/>
                <w:sz w:val="20"/>
                <w:szCs w:val="20"/>
              </w:rPr>
            </w:pPr>
            <w:r>
              <w:rPr>
                <w:color w:val="000000"/>
                <w:sz w:val="20"/>
                <w:szCs w:val="20"/>
              </w:rPr>
              <w:t>   of awards</w:t>
            </w:r>
          </w:p>
          <w:p w:rsidR="00000000" w:rsidRDefault="00827839">
            <w:pPr>
              <w:pStyle w:val="a3"/>
              <w:spacing w:before="0" w:beforeAutospacing="0" w:after="0" w:afterAutospacing="0"/>
              <w:rPr>
                <w:color w:val="000000"/>
                <w:sz w:val="20"/>
                <w:szCs w:val="20"/>
              </w:rPr>
            </w:pPr>
            <w:r>
              <w:rPr>
                <w:color w:val="000000"/>
                <w:sz w:val="20"/>
                <w:szCs w:val="20"/>
              </w:rPr>
              <w:t>• Plan provides the Committee flexibility</w:t>
            </w:r>
          </w:p>
          <w:p w:rsidR="00000000" w:rsidRDefault="00827839">
            <w:pPr>
              <w:pStyle w:val="a3"/>
              <w:spacing w:before="0" w:beforeAutospacing="0" w:after="0" w:afterAutospacing="0"/>
              <w:rPr>
                <w:color w:val="000000"/>
                <w:sz w:val="20"/>
                <w:szCs w:val="20"/>
              </w:rPr>
            </w:pPr>
            <w:r>
              <w:rPr>
                <w:color w:val="000000"/>
                <w:sz w:val="20"/>
                <w:szCs w:val="20"/>
              </w:rPr>
              <w:t>    to respond to different facts and</w:t>
            </w:r>
          </w:p>
          <w:p w:rsidR="00000000" w:rsidRDefault="00827839">
            <w:pPr>
              <w:pStyle w:val="a3"/>
              <w:spacing w:before="0" w:beforeAutospacing="0" w:after="0" w:afterAutospacing="0"/>
              <w:rPr>
                <w:color w:val="000000"/>
                <w:sz w:val="20"/>
                <w:szCs w:val="20"/>
              </w:rPr>
            </w:pPr>
            <w:r>
              <w:rPr>
                <w:color w:val="000000"/>
                <w:sz w:val="20"/>
                <w:szCs w:val="20"/>
              </w:rPr>
              <w:t>    circumstances</w:t>
            </w:r>
          </w:p>
          <w:p w:rsidR="00000000" w:rsidRDefault="00827839">
            <w:pPr>
              <w:pStyle w:val="a3"/>
              <w:spacing w:before="0" w:beforeAutospacing="0" w:after="0" w:afterAutospacing="0"/>
              <w:rPr>
                <w:color w:val="000000"/>
                <w:sz w:val="20"/>
                <w:szCs w:val="20"/>
              </w:rPr>
            </w:pPr>
            <w:r>
              <w:rPr>
                <w:color w:val="000000"/>
                <w:sz w:val="20"/>
                <w:szCs w:val="20"/>
              </w:rPr>
              <w:t>• Awards normally vest in equal thirds on</w:t>
            </w:r>
          </w:p>
          <w:p w:rsidR="00000000" w:rsidRDefault="00827839">
            <w:pPr>
              <w:pStyle w:val="a3"/>
              <w:spacing w:before="0" w:beforeAutospacing="0" w:after="0" w:afterAutospacing="0"/>
              <w:rPr>
                <w:color w:val="000000"/>
                <w:sz w:val="20"/>
                <w:szCs w:val="20"/>
              </w:rPr>
            </w:pPr>
            <w:r>
              <w:rPr>
                <w:color w:val="000000"/>
                <w:sz w:val="20"/>
                <w:szCs w:val="20"/>
              </w:rPr>
              <w:t>    the first three anniversaries of the</w:t>
            </w:r>
          </w:p>
          <w:p w:rsidR="00000000" w:rsidRDefault="00827839">
            <w:pPr>
              <w:pStyle w:val="a3"/>
              <w:spacing w:before="0" w:beforeAutospacing="0" w:after="0" w:afterAutospacing="0"/>
              <w:rPr>
                <w:color w:val="000000"/>
                <w:sz w:val="20"/>
                <w:szCs w:val="20"/>
              </w:rPr>
            </w:pPr>
            <w:r>
              <w:rPr>
                <w:color w:val="000000"/>
                <w:sz w:val="20"/>
                <w:szCs w:val="20"/>
              </w:rPr>
              <w:t>    date of grant</w:t>
            </w:r>
          </w:p>
          <w:p w:rsidR="00000000" w:rsidRDefault="00827839">
            <w:pPr>
              <w:pStyle w:val="a3"/>
              <w:spacing w:before="0" w:beforeAutospacing="0" w:after="0" w:afterAutospacing="0"/>
              <w:rPr>
                <w:color w:val="000000"/>
                <w:sz w:val="20"/>
                <w:szCs w:val="20"/>
              </w:rPr>
            </w:pPr>
            <w:r>
              <w:rPr>
                <w:color w:val="000000"/>
                <w:sz w:val="20"/>
                <w:szCs w:val="20"/>
              </w:rPr>
              <w:t>• Awards are settled in Common Units</w:t>
            </w:r>
          </w:p>
        </w:tc>
      </w:tr>
      <w:tr w:rsidR="00000000">
        <w:trPr>
          <w:divId w:val="595940025"/>
        </w:trPr>
        <w:tc>
          <w:tcPr>
            <w:tcW w:w="82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w:t>
            </w:r>
            <w:r>
              <w:rPr>
                <w:color w:val="000000"/>
                <w:sz w:val="20"/>
                <w:szCs w:val="20"/>
              </w:rPr>
              <w:t>istribution Equivalent Rights</w:t>
            </w:r>
          </w:p>
        </w:tc>
        <w:tc>
          <w:tcPr>
            <w:tcW w:w="6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0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To drive and reward behaviors that lead</w:t>
            </w:r>
          </w:p>
          <w:p w:rsidR="00000000" w:rsidRDefault="00827839">
            <w:pPr>
              <w:pStyle w:val="a3"/>
              <w:spacing w:before="0" w:beforeAutospacing="0" w:after="0" w:afterAutospacing="0"/>
              <w:rPr>
                <w:color w:val="000000"/>
                <w:sz w:val="20"/>
                <w:szCs w:val="20"/>
              </w:rPr>
            </w:pPr>
            <w:r>
              <w:rPr>
                <w:color w:val="000000"/>
                <w:sz w:val="20"/>
                <w:szCs w:val="20"/>
              </w:rPr>
              <w:t>    to distribution sustainability and growth</w:t>
            </w:r>
          </w:p>
          <w:p w:rsidR="00000000" w:rsidRDefault="00827839">
            <w:pPr>
              <w:pStyle w:val="a3"/>
              <w:spacing w:before="0" w:beforeAutospacing="0" w:after="0" w:afterAutospacing="0"/>
              <w:rPr>
                <w:color w:val="000000"/>
                <w:sz w:val="20"/>
                <w:szCs w:val="20"/>
              </w:rPr>
            </w:pPr>
            <w:r>
              <w:rPr>
                <w:color w:val="000000"/>
                <w:sz w:val="20"/>
                <w:szCs w:val="20"/>
              </w:rPr>
              <w:t>• To further align the interests of the</w:t>
            </w:r>
          </w:p>
          <w:p w:rsidR="00000000" w:rsidRDefault="00827839">
            <w:pPr>
              <w:pStyle w:val="a3"/>
              <w:spacing w:before="0" w:beforeAutospacing="0" w:after="0" w:afterAutospacing="0"/>
              <w:rPr>
                <w:color w:val="000000"/>
                <w:sz w:val="20"/>
                <w:szCs w:val="20"/>
              </w:rPr>
            </w:pPr>
            <w:r>
              <w:rPr>
                <w:color w:val="000000"/>
                <w:sz w:val="20"/>
                <w:szCs w:val="20"/>
              </w:rPr>
              <w:t>    recipients with the interests of our</w:t>
            </w:r>
          </w:p>
          <w:p w:rsidR="00000000" w:rsidRDefault="00827839">
            <w:pPr>
              <w:pStyle w:val="a3"/>
              <w:spacing w:before="0" w:beforeAutospacing="0" w:after="0" w:afterAutospacing="0"/>
              <w:rPr>
                <w:color w:val="000000"/>
                <w:sz w:val="20"/>
                <w:szCs w:val="20"/>
              </w:rPr>
            </w:pPr>
            <w:r>
              <w:rPr>
                <w:color w:val="000000"/>
                <w:sz w:val="20"/>
                <w:szCs w:val="20"/>
              </w:rPr>
              <w:t>    Unitholders</w:t>
            </w:r>
          </w:p>
          <w:p w:rsidR="00000000" w:rsidRDefault="00827839">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To encourage our executives to retain</w:t>
            </w:r>
          </w:p>
          <w:p w:rsidR="00000000" w:rsidRDefault="00827839">
            <w:pPr>
              <w:pStyle w:val="a3"/>
              <w:spacing w:before="0" w:beforeAutospacing="0" w:after="0" w:afterAutospacing="0"/>
              <w:rPr>
                <w:color w:val="000000"/>
                <w:sz w:val="20"/>
                <w:szCs w:val="20"/>
              </w:rPr>
            </w:pPr>
            <w:r>
              <w:rPr>
                <w:color w:val="000000"/>
                <w:sz w:val="20"/>
                <w:szCs w:val="20"/>
              </w:rPr>
              <w:t>    their holdings of our Common Units by</w:t>
            </w:r>
          </w:p>
          <w:p w:rsidR="00000000" w:rsidRDefault="00827839">
            <w:pPr>
              <w:pStyle w:val="a3"/>
              <w:spacing w:before="0" w:beforeAutospacing="0" w:after="0" w:afterAutospacing="0"/>
              <w:rPr>
                <w:color w:val="000000"/>
                <w:sz w:val="20"/>
                <w:szCs w:val="20"/>
              </w:rPr>
            </w:pPr>
            <w:r>
              <w:rPr>
                <w:color w:val="000000"/>
                <w:sz w:val="20"/>
                <w:szCs w:val="20"/>
              </w:rPr>
              <w:t>    providing them with funds to settle the</w:t>
            </w:r>
          </w:p>
          <w:p w:rsidR="00000000" w:rsidRDefault="00827839">
            <w:pPr>
              <w:pStyle w:val="a3"/>
              <w:spacing w:before="0" w:beforeAutospacing="0" w:after="0" w:afterAutospacing="0"/>
              <w:rPr>
                <w:color w:val="000000"/>
                <w:sz w:val="20"/>
                <w:szCs w:val="20"/>
              </w:rPr>
            </w:pPr>
            <w:r>
              <w:rPr>
                <w:color w:val="000000"/>
                <w:sz w:val="20"/>
                <w:szCs w:val="20"/>
              </w:rPr>
              <w:t>    income and FICA taxes on their vested</w:t>
            </w:r>
          </w:p>
          <w:p w:rsidR="00000000" w:rsidRDefault="00827839">
            <w:pPr>
              <w:pStyle w:val="a3"/>
              <w:spacing w:before="0" w:beforeAutospacing="0" w:after="0" w:afterAutospacing="0"/>
              <w:rPr>
                <w:color w:val="000000"/>
                <w:sz w:val="20"/>
                <w:szCs w:val="20"/>
              </w:rPr>
            </w:pPr>
            <w:r>
              <w:rPr>
                <w:color w:val="000000"/>
                <w:sz w:val="20"/>
                <w:szCs w:val="20"/>
              </w:rPr>
              <w:t>    restricted units</w:t>
            </w:r>
          </w:p>
        </w:tc>
        <w:tc>
          <w:tcPr>
            <w:tcW w:w="6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0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Participants are selected by the</w:t>
            </w:r>
          </w:p>
          <w:p w:rsidR="00000000" w:rsidRDefault="00827839">
            <w:pPr>
              <w:pStyle w:val="a3"/>
              <w:spacing w:before="0" w:beforeAutospacing="0" w:after="0" w:afterAutospacing="0"/>
              <w:rPr>
                <w:color w:val="000000"/>
                <w:sz w:val="20"/>
                <w:szCs w:val="20"/>
              </w:rPr>
            </w:pPr>
            <w:r>
              <w:rPr>
                <w:color w:val="000000"/>
                <w:sz w:val="20"/>
                <w:szCs w:val="20"/>
              </w:rPr>
              <w:t>   Committee</w:t>
            </w:r>
          </w:p>
          <w:p w:rsidR="00000000" w:rsidRDefault="00827839">
            <w:pPr>
              <w:pStyle w:val="a3"/>
              <w:spacing w:before="0" w:beforeAutospacing="0" w:after="0" w:afterAutospacing="0"/>
              <w:rPr>
                <w:color w:val="000000"/>
                <w:sz w:val="20"/>
                <w:szCs w:val="20"/>
              </w:rPr>
            </w:pPr>
            <w:r>
              <w:rPr>
                <w:color w:val="000000"/>
                <w:sz w:val="20"/>
                <w:szCs w:val="20"/>
              </w:rPr>
              <w:t>• Paid in cash</w:t>
            </w:r>
          </w:p>
          <w:p w:rsidR="00000000" w:rsidRDefault="00827839">
            <w:pPr>
              <w:pStyle w:val="a3"/>
              <w:spacing w:before="0" w:beforeAutospacing="0" w:after="0" w:afterAutospacing="0"/>
              <w:rPr>
                <w:color w:val="000000"/>
                <w:sz w:val="20"/>
                <w:szCs w:val="20"/>
              </w:rPr>
            </w:pPr>
            <w:r>
              <w:rPr>
                <w:color w:val="000000"/>
                <w:sz w:val="20"/>
                <w:szCs w:val="20"/>
              </w:rPr>
              <w:t>• Pa</w:t>
            </w:r>
            <w:r>
              <w:rPr>
                <w:color w:val="000000"/>
                <w:sz w:val="20"/>
                <w:szCs w:val="20"/>
              </w:rPr>
              <w:t>yments are made upon a</w:t>
            </w:r>
          </w:p>
          <w:p w:rsidR="00000000" w:rsidRDefault="00827839">
            <w:pPr>
              <w:pStyle w:val="a3"/>
              <w:spacing w:before="0" w:beforeAutospacing="0" w:after="0" w:afterAutospacing="0"/>
              <w:rPr>
                <w:color w:val="000000"/>
                <w:sz w:val="20"/>
                <w:szCs w:val="20"/>
              </w:rPr>
            </w:pPr>
            <w:r>
              <w:rPr>
                <w:color w:val="000000"/>
                <w:sz w:val="20"/>
                <w:szCs w:val="20"/>
              </w:rPr>
              <w:t>   distribution to Unitholders and</w:t>
            </w:r>
          </w:p>
          <w:p w:rsidR="00000000" w:rsidRDefault="00827839">
            <w:pPr>
              <w:pStyle w:val="a3"/>
              <w:spacing w:before="0" w:beforeAutospacing="0" w:after="0" w:afterAutospacing="0"/>
              <w:rPr>
                <w:color w:val="000000"/>
                <w:sz w:val="20"/>
                <w:szCs w:val="20"/>
              </w:rPr>
            </w:pPr>
            <w:r>
              <w:rPr>
                <w:color w:val="000000"/>
                <w:sz w:val="20"/>
                <w:szCs w:val="20"/>
              </w:rPr>
              <w:t>   based on the number of Participants'</w:t>
            </w:r>
          </w:p>
          <w:p w:rsidR="00000000" w:rsidRDefault="00827839">
            <w:pPr>
              <w:pStyle w:val="a3"/>
              <w:spacing w:before="0" w:beforeAutospacing="0" w:after="0" w:afterAutospacing="0"/>
              <w:rPr>
                <w:color w:val="000000"/>
                <w:sz w:val="20"/>
                <w:szCs w:val="20"/>
              </w:rPr>
            </w:pPr>
            <w:r>
              <w:rPr>
                <w:color w:val="000000"/>
                <w:sz w:val="20"/>
                <w:szCs w:val="20"/>
              </w:rPr>
              <w:t>   unvested restricted units</w:t>
            </w:r>
          </w:p>
        </w:tc>
      </w:tr>
    </w:tbl>
    <w:p w:rsidR="00000000" w:rsidRDefault="00827839">
      <w:pPr>
        <w:pStyle w:val="a3"/>
        <w:spacing w:before="240" w:beforeAutospacing="0" w:after="0" w:afterAutospacing="0"/>
        <w:ind w:firstLine="556"/>
        <w:jc w:val="both"/>
        <w:rPr>
          <w:sz w:val="20"/>
          <w:szCs w:val="20"/>
        </w:rPr>
      </w:pPr>
      <w:r>
        <w:rPr>
          <w:sz w:val="20"/>
          <w:szCs w:val="20"/>
        </w:rPr>
        <w:t>We align the short-term and long-term interests of our named executive officers with the short-term and long-term interests of o</w:t>
      </w:r>
      <w:r>
        <w:rPr>
          <w:sz w:val="20"/>
          <w:szCs w:val="20"/>
        </w:rPr>
        <w:t>ur Unitholders by:</w:t>
      </w:r>
    </w:p>
    <w:p w:rsidR="00000000" w:rsidRDefault="00827839">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226911378"/>
        </w:trPr>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0" w:afterAutospacing="0"/>
              <w:jc w:val="both"/>
              <w:rPr>
                <w:color w:val="000000"/>
                <w:sz w:val="20"/>
                <w:szCs w:val="20"/>
              </w:rPr>
            </w:pPr>
            <w:r>
              <w:rPr>
                <w:color w:val="000000"/>
                <w:sz w:val="20"/>
                <w:szCs w:val="20"/>
              </w:rPr>
              <w:t>Providing our named executive officers with an annual incentive target that encourages them to achieve or exceed targeted financial results and operating performance for a particular fiscal year;</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Providing a long-term incentive plan that encourages o</w:t>
            </w:r>
            <w:r>
              <w:rPr>
                <w:color w:val="000000"/>
                <w:sz w:val="20"/>
                <w:szCs w:val="20"/>
              </w:rPr>
              <w:t xml:space="preserve">ur named executive officers to implement activities and practices conducive to sustainable, profitable growth;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53</w:t>
      </w:r>
    </w:p>
    <w:p w:rsidR="00000000" w:rsidRDefault="00827839">
      <w:pPr>
        <w:rPr>
          <w:rFonts w:eastAsia="Times New Roman"/>
        </w:rPr>
      </w:pPr>
      <w:r>
        <w:rPr>
          <w:rFonts w:eastAsia="Times New Roman"/>
        </w:rPr>
        <w:pict>
          <v:rect id="_x0000_i108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020160245"/>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Providing our named executive officers with restricted units in order to encourage the retention of the participating executive officers and their equity ownership in the Partnership, while simultaneously encouraging behaviors conducive to the long-term ap</w:t>
            </w:r>
            <w:r>
              <w:rPr>
                <w:color w:val="000000"/>
                <w:sz w:val="20"/>
                <w:szCs w:val="20"/>
              </w:rPr>
              <w:t xml:space="preserve">preciation of our Common Units; and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Providing our named executive officers with distribution equivalent rights to encourage behaviors conducive to distribution sustainability and growth.</w:t>
            </w:r>
          </w:p>
        </w:tc>
      </w:tr>
    </w:tbl>
    <w:p w:rsidR="00000000" w:rsidRDefault="00827839">
      <w:pPr>
        <w:pStyle w:val="a3"/>
        <w:spacing w:before="160" w:beforeAutospacing="0" w:after="0" w:afterAutospacing="0"/>
        <w:jc w:val="both"/>
        <w:rPr>
          <w:sz w:val="20"/>
          <w:szCs w:val="20"/>
        </w:rPr>
      </w:pPr>
      <w:r>
        <w:rPr>
          <w:sz w:val="20"/>
          <w:szCs w:val="20"/>
        </w:rPr>
        <w:t> </w:t>
      </w:r>
    </w:p>
    <w:p w:rsidR="00000000" w:rsidRDefault="00827839">
      <w:pPr>
        <w:pStyle w:val="a3"/>
        <w:spacing w:before="0" w:beforeAutospacing="0" w:after="0" w:afterAutospacing="0"/>
        <w:jc w:val="both"/>
        <w:rPr>
          <w:b/>
          <w:bCs/>
          <w:color w:val="000000"/>
          <w:sz w:val="20"/>
          <w:szCs w:val="20"/>
        </w:rPr>
      </w:pPr>
      <w:r>
        <w:rPr>
          <w:b/>
          <w:bCs/>
          <w:color w:val="000000"/>
          <w:sz w:val="20"/>
          <w:szCs w:val="20"/>
        </w:rPr>
        <w:t>Pay Mix</w:t>
      </w:r>
    </w:p>
    <w:p w:rsidR="00000000" w:rsidRDefault="00827839">
      <w:pPr>
        <w:pStyle w:val="a3"/>
        <w:spacing w:before="120" w:beforeAutospacing="0" w:after="0" w:afterAutospacing="0"/>
        <w:ind w:firstLine="556"/>
        <w:jc w:val="both"/>
        <w:rPr>
          <w:sz w:val="20"/>
          <w:szCs w:val="20"/>
        </w:rPr>
      </w:pPr>
      <w:r>
        <w:rPr>
          <w:sz w:val="20"/>
          <w:szCs w:val="20"/>
        </w:rPr>
        <w:t>Under our compensation structure, each named executive officer’s “total cash compensation oppo</w:t>
      </w:r>
      <w:r>
        <w:rPr>
          <w:sz w:val="20"/>
          <w:szCs w:val="20"/>
        </w:rPr>
        <w:t>rtunity” consists of a mix of base salary, cash bonus, cash-settled long-term incentives, and distribution equivalent rights payments.  This “mix” varies depending on his or her position.  The base salary for each executive officer is the only fixed compon</w:t>
      </w:r>
      <w:r>
        <w:rPr>
          <w:sz w:val="20"/>
          <w:szCs w:val="20"/>
        </w:rPr>
        <w:t>ent of compensation.  All other cash compensation, including annual cash bonuses and long-term incentive compensation, is variable in nature as it is dependent upon achievement of certain performance measures.  </w:t>
      </w:r>
    </w:p>
    <w:p w:rsidR="00000000" w:rsidRDefault="00827839">
      <w:pPr>
        <w:pStyle w:val="a3"/>
        <w:spacing w:before="240" w:beforeAutospacing="0" w:after="0" w:afterAutospacing="0"/>
        <w:ind w:firstLine="556"/>
        <w:jc w:val="both"/>
        <w:rPr>
          <w:sz w:val="20"/>
          <w:szCs w:val="20"/>
        </w:rPr>
      </w:pPr>
      <w:r>
        <w:rPr>
          <w:sz w:val="20"/>
          <w:szCs w:val="20"/>
        </w:rPr>
        <w:t>In allocating among these components, in ord</w:t>
      </w:r>
      <w:r>
        <w:rPr>
          <w:sz w:val="20"/>
          <w:szCs w:val="20"/>
        </w:rPr>
        <w:t xml:space="preserve">er to align the interests of our senior executive officers - the executive officers having the greatest ability to influence our performance - with the interests of our Unitholders, we consider it crucial to emphasize the performance-based elements of the </w:t>
      </w:r>
      <w:r>
        <w:rPr>
          <w:sz w:val="20"/>
          <w:szCs w:val="20"/>
        </w:rPr>
        <w:t>total compensation opportunities that we provide to them.  Therefore, during fiscal 2019, the total cash compensation opportunity for our senior executive officers, including our named executive officers, was at least 47% performance-based under our annual</w:t>
      </w:r>
      <w:r>
        <w:rPr>
          <w:sz w:val="20"/>
          <w:szCs w:val="20"/>
        </w:rPr>
        <w:t xml:space="preserve"> cash bonus and long-term incentive plans, neither of which provide for guaranteed minimum payments.</w:t>
      </w:r>
    </w:p>
    <w:p w:rsidR="00000000" w:rsidRDefault="00827839">
      <w:pPr>
        <w:pStyle w:val="a3"/>
        <w:spacing w:before="240" w:beforeAutospacing="0" w:after="0" w:afterAutospacing="0"/>
        <w:ind w:firstLine="556"/>
        <w:jc w:val="both"/>
        <w:rPr>
          <w:sz w:val="20"/>
          <w:szCs w:val="20"/>
        </w:rPr>
      </w:pPr>
      <w:r>
        <w:rPr>
          <w:sz w:val="20"/>
          <w:szCs w:val="20"/>
        </w:rPr>
        <w:t>The following table summarizes each of these components as a percentage of each named executive officer’s total cash compensation opportunity for fiscal 20</w:t>
      </w:r>
      <w:r>
        <w:rPr>
          <w:sz w:val="20"/>
          <w:szCs w:val="20"/>
        </w:rPr>
        <w:t>19:</w:t>
      </w:r>
    </w:p>
    <w:p w:rsidR="00000000" w:rsidRDefault="00827839">
      <w:pPr>
        <w:pStyle w:val="a3"/>
        <w:spacing w:before="0" w:beforeAutospacing="0" w:after="0" w:afterAutospacing="0"/>
        <w:ind w:firstLine="556"/>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847"/>
        <w:gridCol w:w="92"/>
        <w:gridCol w:w="880"/>
        <w:gridCol w:w="93"/>
        <w:gridCol w:w="880"/>
        <w:gridCol w:w="93"/>
        <w:gridCol w:w="880"/>
        <w:gridCol w:w="880"/>
      </w:tblGrid>
      <w:tr w:rsidR="00000000">
        <w:trPr>
          <w:divId w:val="1490243050"/>
        </w:trPr>
        <w:tc>
          <w:tcPr>
            <w:tcW w:w="21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7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Base Salary</w:t>
            </w:r>
          </w:p>
        </w:tc>
        <w:tc>
          <w:tcPr>
            <w:tcW w:w="7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6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Cash Bonus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Target</w:t>
            </w:r>
          </w:p>
        </w:tc>
        <w:tc>
          <w:tcPr>
            <w:tcW w:w="7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Cash Settled Long-Term Incentive</w:t>
            </w:r>
          </w:p>
        </w:tc>
        <w:tc>
          <w:tcPr>
            <w:tcW w:w="66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Distribution Equivalent Rights</w:t>
            </w:r>
          </w:p>
        </w:tc>
      </w:tr>
      <w:tr w:rsidR="00000000">
        <w:trPr>
          <w:divId w:val="1490243050"/>
        </w:trPr>
        <w:tc>
          <w:tcPr>
            <w:tcW w:w="214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7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35%</w:t>
            </w:r>
          </w:p>
        </w:tc>
        <w:tc>
          <w:tcPr>
            <w:tcW w:w="7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661"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35%</w:t>
            </w:r>
          </w:p>
        </w:tc>
        <w:tc>
          <w:tcPr>
            <w:tcW w:w="7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18%</w:t>
            </w:r>
          </w:p>
        </w:tc>
        <w:tc>
          <w:tcPr>
            <w:tcW w:w="661"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12%</w:t>
            </w:r>
          </w:p>
        </w:tc>
      </w:tr>
      <w:tr w:rsidR="00000000">
        <w:trPr>
          <w:divId w:val="1490243050"/>
        </w:trPr>
        <w:tc>
          <w:tcPr>
            <w:tcW w:w="214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7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40%</w:t>
            </w:r>
          </w:p>
        </w:tc>
        <w:tc>
          <w:tcPr>
            <w:tcW w:w="7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32%</w:t>
            </w:r>
          </w:p>
        </w:tc>
        <w:tc>
          <w:tcPr>
            <w:tcW w:w="7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16%</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12%</w:t>
            </w:r>
          </w:p>
        </w:tc>
      </w:tr>
      <w:tr w:rsidR="00000000">
        <w:trPr>
          <w:divId w:val="1490243050"/>
        </w:trPr>
        <w:tc>
          <w:tcPr>
            <w:tcW w:w="214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7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40%</w:t>
            </w:r>
          </w:p>
        </w:tc>
        <w:tc>
          <w:tcPr>
            <w:tcW w:w="7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32%</w:t>
            </w:r>
          </w:p>
        </w:tc>
        <w:tc>
          <w:tcPr>
            <w:tcW w:w="7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16%</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12%</w:t>
            </w:r>
          </w:p>
        </w:tc>
      </w:tr>
      <w:tr w:rsidR="00000000">
        <w:trPr>
          <w:divId w:val="1490243050"/>
        </w:trPr>
        <w:tc>
          <w:tcPr>
            <w:tcW w:w="214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7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39%</w:t>
            </w:r>
          </w:p>
        </w:tc>
        <w:tc>
          <w:tcPr>
            <w:tcW w:w="7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32%</w:t>
            </w:r>
          </w:p>
        </w:tc>
        <w:tc>
          <w:tcPr>
            <w:tcW w:w="7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16%</w:t>
            </w:r>
          </w:p>
        </w:tc>
        <w:tc>
          <w:tcPr>
            <w:tcW w:w="6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13%</w:t>
            </w:r>
          </w:p>
        </w:tc>
      </w:tr>
      <w:tr w:rsidR="00000000">
        <w:trPr>
          <w:divId w:val="1490243050"/>
        </w:trPr>
        <w:tc>
          <w:tcPr>
            <w:tcW w:w="214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7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39%</w:t>
            </w:r>
          </w:p>
        </w:tc>
        <w:tc>
          <w:tcPr>
            <w:tcW w:w="7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31%</w:t>
            </w:r>
          </w:p>
        </w:tc>
        <w:tc>
          <w:tcPr>
            <w:tcW w:w="7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16%</w:t>
            </w:r>
          </w:p>
        </w:tc>
        <w:tc>
          <w:tcPr>
            <w:tcW w:w="6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14%</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160" w:beforeAutospacing="0" w:after="0" w:afterAutospacing="0"/>
        <w:jc w:val="both"/>
        <w:rPr>
          <w:b/>
          <w:bCs/>
          <w:color w:val="000000"/>
          <w:sz w:val="20"/>
          <w:szCs w:val="20"/>
        </w:rPr>
      </w:pPr>
      <w:r>
        <w:rPr>
          <w:b/>
          <w:bCs/>
          <w:color w:val="000000"/>
          <w:sz w:val="20"/>
          <w:szCs w:val="20"/>
        </w:rPr>
        <w:t>Components of Compensation</w:t>
      </w:r>
    </w:p>
    <w:p w:rsidR="00000000" w:rsidRDefault="00827839">
      <w:pPr>
        <w:pStyle w:val="a3"/>
        <w:spacing w:before="120" w:beforeAutospacing="0" w:after="0" w:afterAutospacing="0"/>
        <w:jc w:val="both"/>
        <w:rPr>
          <w:b/>
          <w:bCs/>
          <w:color w:val="000000"/>
          <w:sz w:val="20"/>
          <w:szCs w:val="20"/>
        </w:rPr>
      </w:pPr>
      <w:r>
        <w:rPr>
          <w:b/>
          <w:bCs/>
          <w:color w:val="000000"/>
          <w:sz w:val="20"/>
          <w:szCs w:val="20"/>
        </w:rPr>
        <w:t>Base Salary</w:t>
      </w:r>
    </w:p>
    <w:p w:rsidR="00000000" w:rsidRDefault="00827839">
      <w:pPr>
        <w:pStyle w:val="a3"/>
        <w:spacing w:before="120" w:beforeAutospacing="0" w:after="0" w:afterAutospacing="0"/>
        <w:ind w:firstLine="556"/>
        <w:jc w:val="both"/>
        <w:rPr>
          <w:sz w:val="20"/>
          <w:szCs w:val="20"/>
        </w:rPr>
      </w:pPr>
      <w:r>
        <w:rPr>
          <w:sz w:val="20"/>
          <w:szCs w:val="20"/>
        </w:rPr>
        <w:t>Consistent with what has come to be the Committee’</w:t>
      </w:r>
      <w:r>
        <w:rPr>
          <w:sz w:val="20"/>
          <w:szCs w:val="20"/>
        </w:rPr>
        <w:t>s informal policy of only considering adjustments to the base salaries of our named executive officers every two years (unless specific circumstances were deemed by the Committee to necessitate a base salary adjustment), at its November 13, 2018 meeting, t</w:t>
      </w:r>
      <w:r>
        <w:rPr>
          <w:sz w:val="20"/>
          <w:szCs w:val="20"/>
        </w:rPr>
        <w:t>he Committee approved fiscal 2019 base salaries for our named executive officers that were identical to the base salaries approved for fiscal 2018.</w:t>
      </w:r>
    </w:p>
    <w:p w:rsidR="00000000" w:rsidRDefault="00827839">
      <w:pPr>
        <w:pStyle w:val="a3"/>
        <w:spacing w:before="240" w:beforeAutospacing="0" w:after="0" w:afterAutospacing="0"/>
        <w:ind w:firstLine="556"/>
        <w:jc w:val="both"/>
        <w:rPr>
          <w:sz w:val="20"/>
          <w:szCs w:val="20"/>
        </w:rPr>
      </w:pPr>
      <w:r>
        <w:rPr>
          <w:sz w:val="20"/>
          <w:szCs w:val="20"/>
        </w:rPr>
        <w:t>The following base salaries were in effect during fiscal 2019 and fiscal 2018 for our named executive officers: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22"/>
        <w:gridCol w:w="116"/>
        <w:gridCol w:w="115"/>
        <w:gridCol w:w="1071"/>
        <w:gridCol w:w="65"/>
        <w:gridCol w:w="104"/>
        <w:gridCol w:w="115"/>
        <w:gridCol w:w="1072"/>
        <w:gridCol w:w="65"/>
      </w:tblGrid>
      <w:tr w:rsidR="00000000">
        <w:trPr>
          <w:divId w:val="1792627919"/>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2019</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Base Salary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2018</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Base Salary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92627919"/>
        </w:trPr>
        <w:tc>
          <w:tcPr>
            <w:tcW w:w="296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92627919"/>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92627919"/>
        </w:trPr>
        <w:tc>
          <w:tcPr>
            <w:tcW w:w="296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92627919"/>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92627919"/>
        </w:trPr>
        <w:tc>
          <w:tcPr>
            <w:tcW w:w="296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The base salaries paid to our named executive officers in fiscal 2019, fiscal 2018 and fiscal 2017 are reported in the column titled “Salary” in the Summary Compensation Table below.</w:t>
      </w:r>
    </w:p>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54</w:t>
      </w:r>
    </w:p>
    <w:p w:rsidR="00000000" w:rsidRDefault="00827839">
      <w:pPr>
        <w:rPr>
          <w:rFonts w:eastAsia="Times New Roman"/>
        </w:rPr>
      </w:pPr>
      <w:r>
        <w:rPr>
          <w:rFonts w:eastAsia="Times New Roman"/>
        </w:rPr>
        <w:pict>
          <v:rect id="_x0000_i108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40" w:beforeAutospacing="0" w:after="0" w:afterAutospacing="0"/>
        <w:ind w:firstLine="556"/>
        <w:jc w:val="both"/>
        <w:rPr>
          <w:sz w:val="20"/>
          <w:szCs w:val="20"/>
        </w:rPr>
      </w:pPr>
      <w:r>
        <w:rPr>
          <w:sz w:val="20"/>
          <w:szCs w:val="20"/>
        </w:rPr>
        <w:t xml:space="preserve">Using the process explained in the section above titled “The Annual Compensation Decision Making Process,” at its November 12, 2019 meeting, </w:t>
      </w:r>
      <w:r>
        <w:rPr>
          <w:sz w:val="20"/>
          <w:szCs w:val="20"/>
        </w:rPr>
        <w:t>the Committee approved the following base salaries for fiscal 2020:</w:t>
      </w:r>
    </w:p>
    <w:p w:rsidR="00000000" w:rsidRDefault="00827839">
      <w:pPr>
        <w:pStyle w:val="a3"/>
        <w:spacing w:before="0" w:beforeAutospacing="0" w:after="0" w:afterAutospacing="0"/>
        <w:ind w:firstLine="556"/>
        <w:jc w:val="both"/>
        <w:rPr>
          <w:sz w:val="10"/>
          <w:szCs w:val="10"/>
        </w:rPr>
      </w:pPr>
      <w:r>
        <w:rPr>
          <w:sz w:val="10"/>
          <w:szCs w:val="10"/>
        </w:rPr>
        <w:t> </w:t>
      </w:r>
    </w:p>
    <w:p w:rsidR="00000000" w:rsidRDefault="00827839">
      <w:pPr>
        <w:pStyle w:val="a3"/>
        <w:spacing w:before="0" w:beforeAutospacing="0" w:after="0" w:afterAutospacing="0"/>
        <w:jc w:val="both"/>
        <w:rPr>
          <w:sz w:val="10"/>
          <w:szCs w:val="10"/>
        </w:rPr>
      </w:pPr>
      <w:r>
        <w:rPr>
          <w:sz w:val="10"/>
          <w:szCs w:val="10"/>
        </w:rPr>
        <w:t> </w:t>
      </w:r>
    </w:p>
    <w:tbl>
      <w:tblPr>
        <w:tblW w:w="4000" w:type="pct"/>
        <w:tblCellMar>
          <w:left w:w="0" w:type="dxa"/>
          <w:right w:w="0" w:type="dxa"/>
        </w:tblCellMar>
        <w:tblLook w:val="04A0" w:firstRow="1" w:lastRow="0" w:firstColumn="1" w:lastColumn="0" w:noHBand="0" w:noVBand="1"/>
      </w:tblPr>
      <w:tblGrid>
        <w:gridCol w:w="4936"/>
        <w:gridCol w:w="147"/>
        <w:gridCol w:w="115"/>
        <w:gridCol w:w="1382"/>
        <w:gridCol w:w="65"/>
      </w:tblGrid>
      <w:tr w:rsidR="00000000">
        <w:trPr>
          <w:divId w:val="1973556279"/>
        </w:trPr>
        <w:tc>
          <w:tcPr>
            <w:tcW w:w="37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0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2020*</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Base Salary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73556279"/>
        </w:trPr>
        <w:tc>
          <w:tcPr>
            <w:tcW w:w="372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3556279"/>
        </w:trPr>
        <w:tc>
          <w:tcPr>
            <w:tcW w:w="37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3556279"/>
        </w:trPr>
        <w:tc>
          <w:tcPr>
            <w:tcW w:w="372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3556279"/>
        </w:trPr>
        <w:tc>
          <w:tcPr>
            <w:tcW w:w="37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1"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12"/>
          <w:szCs w:val="12"/>
        </w:rPr>
      </w:pPr>
      <w:r>
        <w:rPr>
          <w:sz w:val="12"/>
          <w:szCs w:val="12"/>
        </w:rPr>
        <w:t> </w:t>
      </w:r>
    </w:p>
    <w:p w:rsidR="00000000" w:rsidRDefault="00827839">
      <w:pPr>
        <w:pStyle w:val="a3"/>
        <w:spacing w:before="0" w:beforeAutospacing="0" w:after="0" w:afterAutospacing="0"/>
        <w:jc w:val="both"/>
        <w:rPr>
          <w:sz w:val="12"/>
          <w:szCs w:val="12"/>
        </w:rPr>
      </w:pPr>
      <w:r>
        <w:rPr>
          <w:sz w:val="12"/>
          <w:szCs w:val="12"/>
        </w:rPr>
        <w:t> </w:t>
      </w:r>
    </w:p>
    <w:p w:rsidR="00000000" w:rsidRDefault="00827839">
      <w:pPr>
        <w:pStyle w:val="a3"/>
        <w:spacing w:before="0" w:beforeAutospacing="0" w:after="0" w:afterAutospacing="0"/>
        <w:jc w:val="both"/>
        <w:rPr>
          <w:color w:val="000000"/>
          <w:sz w:val="20"/>
          <w:szCs w:val="20"/>
        </w:rPr>
      </w:pPr>
      <w:r>
        <w:rPr>
          <w:color w:val="000000"/>
          <w:sz w:val="20"/>
          <w:szCs w:val="20"/>
        </w:rPr>
        <w:t>*  </w:t>
      </w:r>
      <w:r>
        <w:rPr>
          <w:color w:val="000000"/>
          <w:sz w:val="20"/>
          <w:szCs w:val="20"/>
        </w:rPr>
        <w:t>Mr. Abel retired as of October 1, 2019.</w:t>
      </w:r>
    </w:p>
    <w:p w:rsidR="00000000" w:rsidRDefault="00827839">
      <w:pPr>
        <w:pStyle w:val="a3"/>
        <w:spacing w:before="360" w:beforeAutospacing="0" w:after="0" w:afterAutospacing="0"/>
        <w:jc w:val="both"/>
        <w:rPr>
          <w:b/>
          <w:bCs/>
          <w:color w:val="000000"/>
          <w:sz w:val="20"/>
          <w:szCs w:val="20"/>
        </w:rPr>
      </w:pPr>
      <w:r>
        <w:rPr>
          <w:b/>
          <w:bCs/>
          <w:color w:val="000000"/>
          <w:sz w:val="20"/>
          <w:szCs w:val="20"/>
        </w:rPr>
        <w:t>Annual Cash Bonus Plan</w:t>
      </w:r>
    </w:p>
    <w:p w:rsidR="00000000" w:rsidRDefault="00827839">
      <w:pPr>
        <w:pStyle w:val="a3"/>
        <w:spacing w:before="120" w:beforeAutospacing="0" w:after="0" w:afterAutospacing="0"/>
        <w:ind w:firstLine="556"/>
        <w:jc w:val="both"/>
        <w:rPr>
          <w:sz w:val="20"/>
          <w:szCs w:val="20"/>
        </w:rPr>
      </w:pPr>
      <w:r>
        <w:rPr>
          <w:sz w:val="20"/>
          <w:szCs w:val="20"/>
        </w:rPr>
        <w:t>The Committee uses the annual cash bonus plan (which falls within the Securities and Exchange Commission’s definition of a “Non-Equity Incentive Plan” for the purposes of the Summary Compensation Table and otherwise) to provide a cash incentive award to ce</w:t>
      </w:r>
      <w:r>
        <w:rPr>
          <w:sz w:val="20"/>
          <w:szCs w:val="20"/>
        </w:rPr>
        <w:t>rtain hourly and salaried  employees; including our named executive officers, for the attainment of EBITDA targets for the particular fiscal year, in accordance with the annual budget approved by our Board of Supervisors at the beginning of the fiscal year</w:t>
      </w:r>
      <w:r>
        <w:rPr>
          <w:sz w:val="20"/>
          <w:szCs w:val="20"/>
        </w:rPr>
        <w:t xml:space="preserve">, and other qualitative factors. </w:t>
      </w:r>
    </w:p>
    <w:p w:rsidR="00000000" w:rsidRDefault="00827839">
      <w:pPr>
        <w:pStyle w:val="a3"/>
        <w:spacing w:before="160" w:beforeAutospacing="0" w:after="0" w:afterAutospacing="0"/>
        <w:ind w:firstLine="408"/>
        <w:jc w:val="both"/>
        <w:rPr>
          <w:sz w:val="20"/>
          <w:szCs w:val="20"/>
        </w:rPr>
      </w:pPr>
      <w:r>
        <w:rPr>
          <w:sz w:val="20"/>
          <w:szCs w:val="20"/>
        </w:rPr>
        <w:t> </w:t>
      </w:r>
    </w:p>
    <w:p w:rsidR="00000000" w:rsidRDefault="00827839">
      <w:pPr>
        <w:pStyle w:val="a3"/>
        <w:spacing w:before="0" w:beforeAutospacing="0" w:after="0" w:afterAutospacing="0"/>
        <w:rPr>
          <w:i/>
          <w:iCs/>
          <w:color w:val="000000"/>
          <w:sz w:val="20"/>
          <w:szCs w:val="20"/>
        </w:rPr>
      </w:pPr>
      <w:r>
        <w:rPr>
          <w:i/>
          <w:iCs/>
          <w:color w:val="000000"/>
          <w:sz w:val="20"/>
          <w:szCs w:val="20"/>
        </w:rPr>
        <w:t>Components of Annual Cash Bonus Plan</w:t>
      </w:r>
    </w:p>
    <w:p w:rsidR="00000000" w:rsidRDefault="00827839">
      <w:pPr>
        <w:pStyle w:val="a3"/>
        <w:spacing w:before="120" w:beforeAutospacing="0" w:after="0" w:afterAutospacing="0"/>
        <w:rPr>
          <w:i/>
          <w:iCs/>
          <w:color w:val="000000"/>
          <w:sz w:val="20"/>
          <w:szCs w:val="20"/>
        </w:rPr>
      </w:pPr>
      <w:r>
        <w:rPr>
          <w:i/>
          <w:iCs/>
          <w:color w:val="000000"/>
          <w:sz w:val="20"/>
          <w:szCs w:val="20"/>
        </w:rPr>
        <w:t>Definitions</w:t>
      </w:r>
    </w:p>
    <w:p w:rsidR="00000000" w:rsidRDefault="00827839">
      <w:pPr>
        <w:pStyle w:val="a3"/>
        <w:spacing w:before="120" w:beforeAutospacing="0" w:after="0" w:afterAutospacing="0"/>
        <w:ind w:firstLine="556"/>
        <w:jc w:val="both"/>
        <w:rPr>
          <w:sz w:val="20"/>
          <w:szCs w:val="20"/>
        </w:rPr>
      </w:pPr>
      <w:r>
        <w:rPr>
          <w:sz w:val="20"/>
          <w:szCs w:val="20"/>
        </w:rPr>
        <w:t>Actual EBITDA: represents net income before deducting interest expense, income taxes, depreciation and amortization.</w:t>
      </w:r>
    </w:p>
    <w:p w:rsidR="00000000" w:rsidRDefault="00827839">
      <w:pPr>
        <w:pStyle w:val="a3"/>
        <w:spacing w:before="240" w:beforeAutospacing="0" w:after="0" w:afterAutospacing="0"/>
        <w:ind w:firstLine="556"/>
        <w:jc w:val="both"/>
        <w:rPr>
          <w:sz w:val="20"/>
          <w:szCs w:val="20"/>
        </w:rPr>
      </w:pPr>
      <w:r>
        <w:rPr>
          <w:sz w:val="20"/>
          <w:szCs w:val="20"/>
        </w:rPr>
        <w:t>Actual Adjusted EBITDA: represents Actual EBITDA adjus</w:t>
      </w:r>
      <w:r>
        <w:rPr>
          <w:sz w:val="20"/>
          <w:szCs w:val="20"/>
        </w:rPr>
        <w:t xml:space="preserve">ted for various items; including, but not limited to, unrealized (non-cash) gains or losses on changes in the fair value of derivative instruments; gains or losses on sale of business; acquisition and integration-related costs; multi-employer pension plan </w:t>
      </w:r>
      <w:r>
        <w:rPr>
          <w:sz w:val="20"/>
          <w:szCs w:val="20"/>
        </w:rPr>
        <w:t>withdrawal charges; pension settlement charges; and losses on debt extinguishment.  </w:t>
      </w:r>
    </w:p>
    <w:p w:rsidR="00000000" w:rsidRDefault="00827839">
      <w:pPr>
        <w:pStyle w:val="a3"/>
        <w:spacing w:before="240" w:beforeAutospacing="0" w:after="0" w:afterAutospacing="0"/>
        <w:ind w:firstLine="556"/>
        <w:jc w:val="both"/>
        <w:rPr>
          <w:sz w:val="20"/>
          <w:szCs w:val="20"/>
        </w:rPr>
      </w:pPr>
      <w:r>
        <w:rPr>
          <w:sz w:val="20"/>
          <w:szCs w:val="20"/>
        </w:rPr>
        <w:t xml:space="preserve">Budgeted EBITDA: represents our target budgeted EBITDA developed using a bottom-up process factoring in reasonable growth targets from the prior year’s performance, while </w:t>
      </w:r>
      <w:r>
        <w:rPr>
          <w:sz w:val="20"/>
          <w:szCs w:val="20"/>
        </w:rPr>
        <w:t>at the same time attempting to reach a balance between a target that is reasonably achievable, yet not assured.</w:t>
      </w:r>
    </w:p>
    <w:p w:rsidR="00000000" w:rsidRDefault="00827839">
      <w:pPr>
        <w:pStyle w:val="a3"/>
        <w:spacing w:before="240" w:beforeAutospacing="0" w:after="0" w:afterAutospacing="0"/>
        <w:ind w:firstLine="556"/>
        <w:jc w:val="both"/>
        <w:rPr>
          <w:sz w:val="20"/>
          <w:szCs w:val="20"/>
        </w:rPr>
      </w:pPr>
      <w:r>
        <w:rPr>
          <w:sz w:val="20"/>
          <w:szCs w:val="20"/>
        </w:rPr>
        <w:t>At its April 18, 2017 meeting, the Committee discussed possible employee retention issues resulting from the impact that two consecutive years o</w:t>
      </w:r>
      <w:r>
        <w:rPr>
          <w:sz w:val="20"/>
          <w:szCs w:val="20"/>
        </w:rPr>
        <w:t>f record warm winter heating seasons had on the ability of our employees; including our named executive officers, to earn a cash incentive bonus under the annual cash bonus plan.  In order to address this, the Committee engaged WTW to review and suggest po</w:t>
      </w:r>
      <w:r>
        <w:rPr>
          <w:sz w:val="20"/>
          <w:szCs w:val="20"/>
        </w:rPr>
        <w:t>ssible modifications to that plan to help mitigate its predominant dependence on weather-related factors.  After reviewing several recommendations made by WTW for potential modifications to the plan at its July 2017 meeting, the Committee (at its October 2</w:t>
      </w:r>
      <w:r>
        <w:rPr>
          <w:sz w:val="20"/>
          <w:szCs w:val="20"/>
        </w:rPr>
        <w:t>4, 2017 meeting) approved two separate modifications to the plan.  These modifications became effective starting with fiscal 2018.</w:t>
      </w:r>
    </w:p>
    <w:p w:rsidR="00000000" w:rsidRDefault="00827839">
      <w:pPr>
        <w:pStyle w:val="a3"/>
        <w:spacing w:before="240" w:beforeAutospacing="0" w:after="0" w:afterAutospacing="0"/>
        <w:ind w:firstLine="556"/>
        <w:jc w:val="both"/>
        <w:rPr>
          <w:sz w:val="20"/>
          <w:szCs w:val="20"/>
        </w:rPr>
      </w:pPr>
      <w:r>
        <w:rPr>
          <w:sz w:val="20"/>
          <w:szCs w:val="20"/>
        </w:rPr>
        <w:t>First, the annual cash bonus plan will now contain two separate measurement components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77301345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i)</w:t>
            </w:r>
          </w:p>
        </w:tc>
        <w:tc>
          <w:tcPr>
            <w:tcW w:w="0" w:type="auto"/>
            <w:hideMark/>
          </w:tcPr>
          <w:p w:rsidR="00000000" w:rsidRDefault="00827839">
            <w:pPr>
              <w:pStyle w:val="a3"/>
              <w:spacing w:before="120" w:beforeAutospacing="0" w:after="0" w:afterAutospacing="0"/>
              <w:jc w:val="both"/>
              <w:rPr>
                <w:sz w:val="20"/>
                <w:szCs w:val="20"/>
              </w:rPr>
            </w:pPr>
            <w:r>
              <w:rPr>
                <w:sz w:val="20"/>
                <w:szCs w:val="20"/>
              </w:rPr>
              <w:t>Performance-based com</w:t>
            </w:r>
            <w:r>
              <w:rPr>
                <w:sz w:val="20"/>
                <w:szCs w:val="20"/>
              </w:rPr>
              <w:t xml:space="preserve">ponent in which Actual Adjusted EBITDA is compared to Budgeted EBITDA, similar to the annual cash bonus plan that was in effect for fiscal 2017 and earlier years; and,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ii)</w:t>
            </w:r>
          </w:p>
        </w:tc>
        <w:tc>
          <w:tcPr>
            <w:tcW w:w="0" w:type="auto"/>
            <w:hideMark/>
          </w:tcPr>
          <w:p w:rsidR="00000000" w:rsidRDefault="00827839">
            <w:pPr>
              <w:pStyle w:val="a3"/>
              <w:spacing w:before="120" w:beforeAutospacing="0" w:after="0" w:afterAutospacing="0"/>
              <w:jc w:val="both"/>
              <w:rPr>
                <w:sz w:val="20"/>
                <w:szCs w:val="20"/>
              </w:rPr>
            </w:pPr>
            <w:r>
              <w:rPr>
                <w:sz w:val="20"/>
                <w:szCs w:val="20"/>
              </w:rPr>
              <w:t>Scorecard-based component in which up to 35% of the target cash bonus may be awarded by the Committee, as an enhancement to the performance-based component, based on their evaluation of several qualitative scorecard items that include the following: key sa</w:t>
            </w:r>
            <w:r>
              <w:rPr>
                <w:sz w:val="20"/>
                <w:szCs w:val="20"/>
              </w:rPr>
              <w:t>fety statistics compared to the prior year, customer base trends compared to the prior year, Actual Adjusted EBITDA compared to the prior year, distributable cash flow compared to the prior year, and, in the case of our named executive officers, achievemen</w:t>
            </w:r>
            <w:r>
              <w:rPr>
                <w:sz w:val="20"/>
                <w:szCs w:val="20"/>
              </w:rPr>
              <w:t>t of corporate and individual goals.  The Committee will use its discretion regarding how much weight to place on any one, or several, of the qualitative scorecard items in determining the amount, if any, of the scorecard-based component to award in any fi</w:t>
            </w:r>
            <w:r>
              <w:rPr>
                <w:sz w:val="20"/>
                <w:szCs w:val="20"/>
              </w:rPr>
              <w:t>scal year.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55</w:t>
      </w:r>
    </w:p>
    <w:p w:rsidR="00000000" w:rsidRDefault="00827839">
      <w:pPr>
        <w:rPr>
          <w:rFonts w:eastAsia="Times New Roman"/>
        </w:rPr>
      </w:pPr>
      <w:r>
        <w:rPr>
          <w:rFonts w:eastAsia="Times New Roman"/>
        </w:rPr>
        <w:pict>
          <v:rect id="_x0000_i108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 xml:space="preserve">Second, the Committee lowered the “entry threshold” for the performance-based component under the plan from 85% to 80% and retained the 50% </w:t>
      </w:r>
      <w:r>
        <w:rPr>
          <w:sz w:val="20"/>
          <w:szCs w:val="20"/>
        </w:rPr>
        <w:t>payout of the performance-based component at the entry threshold. The 80% entry threshold was intended to create a more symmetrical performance zone within the plan, such that both the maximum threshold and the entry threshold will take effect at a 20% dif</w:t>
      </w:r>
      <w:r>
        <w:rPr>
          <w:sz w:val="20"/>
          <w:szCs w:val="20"/>
        </w:rPr>
        <w:t>ferential from the target level.  The following table reflects the approved modifications to the annual cash bonus plan that became effective for fiscal 2018 and for subsequent fiscal years: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20"/>
        <w:gridCol w:w="187"/>
        <w:gridCol w:w="2267"/>
        <w:gridCol w:w="187"/>
        <w:gridCol w:w="2271"/>
      </w:tblGrid>
      <w:tr w:rsidR="00000000">
        <w:trPr>
          <w:divId w:val="1269898005"/>
        </w:trPr>
        <w:tc>
          <w:tcPr>
            <w:tcW w:w="5000" w:type="pct"/>
            <w:gridSpan w:val="5"/>
            <w:tcBorders>
              <w:top w:val="single" w:sz="6" w:space="0" w:color="000000"/>
              <w:left w:val="single" w:sz="6" w:space="0" w:color="000000"/>
              <w:bottom w:val="single" w:sz="6" w:space="0" w:color="000000"/>
              <w:right w:val="single" w:sz="6" w:space="0" w:color="000000"/>
            </w:tcBorders>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Performance-Based Component</w:t>
            </w:r>
          </w:p>
        </w:tc>
      </w:tr>
      <w:tr w:rsidR="00000000">
        <w:trPr>
          <w:divId w:val="1269898005"/>
        </w:trPr>
        <w:tc>
          <w:tcPr>
            <w:tcW w:w="129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41"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70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Actual Adjusted EBITDA as a % of Budgeted EBITDA</w:t>
            </w:r>
          </w:p>
        </w:tc>
        <w:tc>
          <w:tcPr>
            <w:tcW w:w="141"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70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of Target Cash Bonus Earned</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Maximum</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 and above</w:t>
            </w:r>
          </w:p>
        </w:tc>
        <w:tc>
          <w:tcPr>
            <w:tcW w:w="14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119%</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119%</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118%</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118%</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117%</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117%</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116%</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116%</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115%</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115%</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114%</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114%</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113%</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113%</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112%</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112%</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111%</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111%</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110%</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110%</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109%</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109%</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108%</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108%</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107%</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107%</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106%</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106%</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105%</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105%</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104%</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104%</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103%</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103%</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102%</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102%</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101%</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101%</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Target</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100%</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100%</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99%</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98%</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98%</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96%</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97%</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94%</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96%</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92%</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95%</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90%</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94%</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88%</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93%</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86%</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92%</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84%</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91%</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82%</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90%</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80%</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89%</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77%</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88%</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74%</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87%</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71%</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86%</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68%</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85%</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65%</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84%</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62%</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83%</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59%</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82%</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56%</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81%</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53%</w:t>
            </w:r>
          </w:p>
        </w:tc>
      </w:tr>
      <w:tr w:rsidR="00000000">
        <w:trPr>
          <w:divId w:val="1269898005"/>
        </w:trPr>
        <w:tc>
          <w:tcPr>
            <w:tcW w:w="12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Entry</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80%</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50%</w:t>
            </w:r>
          </w:p>
        </w:tc>
      </w:tr>
      <w:tr w:rsidR="00000000">
        <w:trPr>
          <w:divId w:val="1269898005"/>
        </w:trPr>
        <w:tc>
          <w:tcPr>
            <w:tcW w:w="12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Below 80%</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0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0%</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56</w:t>
      </w:r>
    </w:p>
    <w:p w:rsidR="00000000" w:rsidRDefault="00827839">
      <w:pPr>
        <w:rPr>
          <w:rFonts w:eastAsia="Times New Roman"/>
        </w:rPr>
      </w:pPr>
      <w:r>
        <w:rPr>
          <w:rFonts w:eastAsia="Times New Roman"/>
        </w:rPr>
        <w:pict>
          <v:rect id="_x0000_i108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60" w:beforeAutospacing="0" w:after="0" w:afterAutospacing="0"/>
        <w:rPr>
          <w:i/>
          <w:iCs/>
          <w:color w:val="000000"/>
          <w:sz w:val="20"/>
          <w:szCs w:val="20"/>
        </w:rPr>
      </w:pPr>
      <w:r>
        <w:rPr>
          <w:i/>
          <w:iCs/>
          <w:color w:val="000000"/>
          <w:sz w:val="20"/>
          <w:szCs w:val="20"/>
        </w:rPr>
        <w:t xml:space="preserve">Fiscal 2019 Annual Cash Bonus </w:t>
      </w:r>
    </w:p>
    <w:p w:rsidR="00000000" w:rsidRDefault="00827839">
      <w:pPr>
        <w:pStyle w:val="a3"/>
        <w:spacing w:before="120" w:beforeAutospacing="0" w:after="0" w:afterAutospacing="0"/>
        <w:ind w:firstLine="556"/>
        <w:jc w:val="both"/>
        <w:rPr>
          <w:sz w:val="20"/>
          <w:szCs w:val="20"/>
        </w:rPr>
      </w:pPr>
      <w:r>
        <w:rPr>
          <w:sz w:val="20"/>
          <w:szCs w:val="20"/>
        </w:rPr>
        <w:t>For fiscal 2019, our Budgeted EBITDA was $283.5 million.  </w:t>
      </w:r>
      <w:r>
        <w:rPr>
          <w:sz w:val="20"/>
          <w:szCs w:val="20"/>
        </w:rPr>
        <w:t>Our Actual Adjusted EBITDA was such that each of our executive officers earned 94% of his or her target cash bonus for the performance-based component of the annual cash bonus plan.  During the previous two fiscal years, our Actual Adjusted EBITDA was such</w:t>
      </w:r>
      <w:r>
        <w:rPr>
          <w:sz w:val="20"/>
          <w:szCs w:val="20"/>
        </w:rPr>
        <w:t xml:space="preserve"> that each of our named executive officers earned 101% and 0% of his target cash bonus for fiscal 2018 and fiscal 2017, respectively.  Additionally, for fiscal 2019 and 2018, based on the Committee’s evaluation of the qualitative scorecard-based components</w:t>
      </w:r>
      <w:r>
        <w:rPr>
          <w:sz w:val="20"/>
          <w:szCs w:val="20"/>
        </w:rPr>
        <w:t xml:space="preserve"> discussed above, the Committee awarded each of our named executive officers 0% and 10%, respectively, of the target cash bonuses for the scorecard-based component of the annual cash bonus plan.  Accordingly, based on the performance of the Partnership, an</w:t>
      </w:r>
      <w:r>
        <w:rPr>
          <w:sz w:val="20"/>
          <w:szCs w:val="20"/>
        </w:rPr>
        <w:t>d the named executive officers, in fiscal 2020, 94% of target cash bonuses will be paid out in relation to fiscal 2019 and in fiscal 2019, 111% of target cash bonuses were paid out in relation to fiscal 2018.</w:t>
      </w:r>
    </w:p>
    <w:p w:rsidR="00000000" w:rsidRDefault="00827839">
      <w:pPr>
        <w:pStyle w:val="a3"/>
        <w:spacing w:before="240" w:beforeAutospacing="0" w:after="0" w:afterAutospacing="0"/>
        <w:ind w:firstLine="556"/>
        <w:jc w:val="both"/>
        <w:rPr>
          <w:sz w:val="20"/>
          <w:szCs w:val="20"/>
        </w:rPr>
      </w:pPr>
      <w:r>
        <w:rPr>
          <w:sz w:val="20"/>
          <w:szCs w:val="20"/>
        </w:rPr>
        <w:t>The fiscal 2019 target cash bonuses established</w:t>
      </w:r>
      <w:r>
        <w:rPr>
          <w:sz w:val="20"/>
          <w:szCs w:val="20"/>
        </w:rPr>
        <w:t xml:space="preserve"> for each named executive officer and the actual cash bonuses earned by each of them during fiscal 2019 are summarized as follows:</w:t>
      </w:r>
    </w:p>
    <w:p w:rsidR="00000000" w:rsidRDefault="00827839">
      <w:pPr>
        <w:pStyle w:val="a3"/>
        <w:spacing w:before="0" w:beforeAutospacing="0" w:after="0" w:afterAutospacing="0"/>
        <w:ind w:firstLine="556"/>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269"/>
        <w:gridCol w:w="97"/>
        <w:gridCol w:w="937"/>
        <w:gridCol w:w="65"/>
        <w:gridCol w:w="88"/>
        <w:gridCol w:w="115"/>
        <w:gridCol w:w="870"/>
        <w:gridCol w:w="65"/>
        <w:gridCol w:w="88"/>
        <w:gridCol w:w="115"/>
        <w:gridCol w:w="871"/>
        <w:gridCol w:w="65"/>
      </w:tblGrid>
      <w:tr w:rsidR="00000000">
        <w:trPr>
          <w:divId w:val="1293097498"/>
        </w:trPr>
        <w:tc>
          <w:tcPr>
            <w:tcW w:w="2467"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2019 Target Cash Bonus as a Percentage of Base Salary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2019 Target Cash Bonus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2019 Actu</w:t>
            </w:r>
            <w:r>
              <w:rPr>
                <w:b/>
                <w:bCs/>
                <w:color w:val="000000"/>
                <w:sz w:val="16"/>
                <w:szCs w:val="16"/>
              </w:rPr>
              <w:t>al Cash Bonus Earned at 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93097498"/>
        </w:trPr>
        <w:tc>
          <w:tcPr>
            <w:tcW w:w="2467"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2"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517,000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93097498"/>
        </w:trPr>
        <w:tc>
          <w:tcPr>
            <w:tcW w:w="24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292,000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274,480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93097498"/>
        </w:trPr>
        <w:tc>
          <w:tcPr>
            <w:tcW w:w="24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292,000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274,480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93097498"/>
        </w:trPr>
        <w:tc>
          <w:tcPr>
            <w:tcW w:w="24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268,000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251,920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93097498"/>
        </w:trPr>
        <w:tc>
          <w:tcPr>
            <w:tcW w:w="24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244,400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57</w:t>
      </w:r>
    </w:p>
    <w:p w:rsidR="00000000" w:rsidRDefault="00827839">
      <w:pPr>
        <w:rPr>
          <w:rFonts w:eastAsia="Times New Roman"/>
        </w:rPr>
      </w:pPr>
      <w:r>
        <w:rPr>
          <w:rFonts w:eastAsia="Times New Roman"/>
        </w:rPr>
        <w:pict>
          <v:rect id="_x0000_i108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rPr>
          <w:i/>
          <w:iCs/>
          <w:color w:val="000000"/>
          <w:sz w:val="20"/>
          <w:szCs w:val="20"/>
        </w:rPr>
      </w:pPr>
      <w:r>
        <w:rPr>
          <w:i/>
          <w:iCs/>
          <w:color w:val="000000"/>
          <w:sz w:val="20"/>
          <w:szCs w:val="20"/>
        </w:rPr>
        <w:t xml:space="preserve">Provisions of the Plan for Fiscal 2017 </w:t>
      </w:r>
    </w:p>
    <w:p w:rsidR="00000000" w:rsidRDefault="00827839">
      <w:pPr>
        <w:pStyle w:val="a3"/>
        <w:spacing w:before="120" w:beforeAutospacing="0" w:after="0" w:afterAutospacing="0"/>
        <w:ind w:firstLine="556"/>
        <w:jc w:val="both"/>
        <w:rPr>
          <w:sz w:val="20"/>
          <w:szCs w:val="20"/>
        </w:rPr>
      </w:pPr>
      <w:r>
        <w:rPr>
          <w:sz w:val="20"/>
          <w:szCs w:val="20"/>
        </w:rPr>
        <w:t>During fiscal 2017, our named executive officers had the opportunity to earn between 50% and 120% of their target cash bonuses under the annual cash bonus plan, depending upon the relationship of our Actual Adjusted EBITDA compared to Budgeted EBITDA, in a</w:t>
      </w:r>
      <w:r>
        <w:rPr>
          <w:sz w:val="20"/>
          <w:szCs w:val="20"/>
        </w:rPr>
        <w:t>ccordance with the following table:</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25"/>
        <w:gridCol w:w="183"/>
        <w:gridCol w:w="2277"/>
        <w:gridCol w:w="183"/>
        <w:gridCol w:w="2277"/>
      </w:tblGrid>
      <w:tr w:rsidR="00000000">
        <w:trPr>
          <w:divId w:val="974986150"/>
        </w:trPr>
        <w:tc>
          <w:tcPr>
            <w:tcW w:w="129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13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71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Actual Adjusted EBITDA as a % of Budgeted EBITDA</w:t>
            </w:r>
          </w:p>
        </w:tc>
        <w:tc>
          <w:tcPr>
            <w:tcW w:w="13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71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of Target Cash Bonus Earned</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Maximum</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 and above</w:t>
            </w:r>
          </w:p>
        </w:tc>
        <w:tc>
          <w:tcPr>
            <w:tcW w:w="13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119%</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119%</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118%</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118%</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117%</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117%</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116%</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116%</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115%</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115%</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114%</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114%</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113%</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113%</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112%</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112%</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111%</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111%</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110%</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110%</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109%</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109%</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108%</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108%</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107%</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107%</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106%</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106%</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105%</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105%</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104%</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104%</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103%</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103%</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102%</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102%</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101%</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101%</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Target</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100%</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100%</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99%</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98%</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98%</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96%</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97%</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94%</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96%</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92%</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95%</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90%</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94%</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85%</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93%</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82.5%</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92%</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80%</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91%</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77.5%</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90%</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75%</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89%</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70%</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88%</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65%</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87%</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60%</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86%</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55%</w:t>
            </w:r>
          </w:p>
        </w:tc>
      </w:tr>
      <w:tr w:rsidR="00000000">
        <w:trPr>
          <w:divId w:val="974986150"/>
        </w:trPr>
        <w:tc>
          <w:tcPr>
            <w:tcW w:w="129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Entry</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85%</w:t>
            </w:r>
          </w:p>
        </w:tc>
        <w:tc>
          <w:tcPr>
            <w:tcW w:w="13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50%</w:t>
            </w:r>
          </w:p>
        </w:tc>
      </w:tr>
      <w:tr w:rsidR="00000000">
        <w:trPr>
          <w:divId w:val="974986150"/>
        </w:trPr>
        <w:tc>
          <w:tcPr>
            <w:tcW w:w="129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b/>
                <w:bCs/>
                <w:color w:val="000000"/>
                <w:sz w:val="16"/>
                <w:szCs w:val="16"/>
              </w:rPr>
            </w:pPr>
            <w:r>
              <w:rPr>
                <w:b/>
                <w:bCs/>
                <w:color w:val="000000"/>
                <w:sz w:val="16"/>
                <w:szCs w:val="16"/>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Below 85%</w:t>
            </w:r>
          </w:p>
        </w:tc>
        <w:tc>
          <w:tcPr>
            <w:tcW w:w="13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171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0%</w:t>
            </w:r>
          </w:p>
        </w:tc>
      </w:tr>
    </w:tbl>
    <w:p w:rsidR="00000000" w:rsidRDefault="00827839">
      <w:pPr>
        <w:pStyle w:val="a3"/>
        <w:spacing w:before="360" w:beforeAutospacing="0" w:after="0" w:afterAutospacing="0"/>
        <w:rPr>
          <w:i/>
          <w:iCs/>
          <w:color w:val="000000"/>
          <w:sz w:val="20"/>
          <w:szCs w:val="20"/>
        </w:rPr>
      </w:pPr>
      <w:r>
        <w:rPr>
          <w:i/>
          <w:iCs/>
          <w:color w:val="000000"/>
          <w:sz w:val="20"/>
          <w:szCs w:val="20"/>
        </w:rPr>
        <w:t>The Use of Discretion</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58</w:t>
      </w:r>
    </w:p>
    <w:p w:rsidR="00000000" w:rsidRDefault="00827839">
      <w:pPr>
        <w:rPr>
          <w:rFonts w:eastAsia="Times New Roman"/>
        </w:rPr>
      </w:pPr>
      <w:r>
        <w:rPr>
          <w:rFonts w:eastAsia="Times New Roman"/>
        </w:rPr>
        <w:pict>
          <v:rect id="_x0000_i108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20" w:beforeAutospacing="0" w:after="0" w:afterAutospacing="0"/>
        <w:ind w:firstLine="556"/>
        <w:jc w:val="both"/>
        <w:rPr>
          <w:sz w:val="20"/>
          <w:szCs w:val="20"/>
        </w:rPr>
      </w:pPr>
      <w:r>
        <w:rPr>
          <w:sz w:val="20"/>
          <w:szCs w:val="20"/>
        </w:rPr>
        <w:t xml:space="preserve">The Committee retains </w:t>
      </w:r>
      <w:r>
        <w:rPr>
          <w:sz w:val="20"/>
          <w:szCs w:val="20"/>
        </w:rPr>
        <w:t>the right to exercise its broad discretionary powers to decrease or increase the annual cash bonus paid to a particular named executive officer, upon the recommendation of our President and Chief Executive Officer, or to the named executive officers as a g</w:t>
      </w:r>
      <w:r>
        <w:rPr>
          <w:sz w:val="20"/>
          <w:szCs w:val="20"/>
        </w:rPr>
        <w:t>roup, when the Committee determines that an adjustment is warranted.  For fiscal 2017, at its October 24, 2017 meeting, the Committee used its discretionary authority to award each of our named executive officers 30% of their target cash bonus, in recognit</w:t>
      </w:r>
      <w:r>
        <w:rPr>
          <w:sz w:val="20"/>
          <w:szCs w:val="20"/>
        </w:rPr>
        <w:t>ion of the Partnership’s operational and financial accomplishments in fiscal 2017, despite a more challenging operating environment and weather pattern compared to fiscal 2016.  In navigating through the second consecutive record warm winter heating season</w:t>
      </w:r>
      <w:r>
        <w:rPr>
          <w:sz w:val="20"/>
          <w:szCs w:val="20"/>
        </w:rPr>
        <w:t>, Partnership management set specific goals and took proactive actions to deliver a meaningful improvement in Actual Adjusted EBITDA and other performance metrics in fiscal 2017 compared to the prior year.  Additionally, the Committee’s decision to grant a</w:t>
      </w:r>
      <w:r>
        <w:rPr>
          <w:sz w:val="20"/>
          <w:szCs w:val="20"/>
        </w:rPr>
        <w:t xml:space="preserve"> discretionary cash bonus for fiscal 2017 was for retention purposes – to avoid having two consecutive years in which bonus payments were not paid as a result of unseasonably warm weather.  </w:t>
      </w:r>
    </w:p>
    <w:p w:rsidR="00000000" w:rsidRDefault="00827839">
      <w:pPr>
        <w:pStyle w:val="a3"/>
        <w:spacing w:before="240" w:beforeAutospacing="0" w:after="0" w:afterAutospacing="0"/>
        <w:ind w:firstLine="556"/>
        <w:jc w:val="both"/>
        <w:rPr>
          <w:sz w:val="20"/>
          <w:szCs w:val="20"/>
        </w:rPr>
      </w:pPr>
      <w:r>
        <w:rPr>
          <w:sz w:val="20"/>
          <w:szCs w:val="20"/>
        </w:rPr>
        <w:t>The discretionary bonuses provided to our named executive officer</w:t>
      </w:r>
      <w:r>
        <w:rPr>
          <w:sz w:val="20"/>
          <w:szCs w:val="20"/>
        </w:rPr>
        <w:t>s for fiscal 2017 are reported in the column titled “Bonus” in the Summary Compensation table below.  The bonus payments earned by our named executive officers under the annual cash bonus plan for fiscal 2019, fiscal 2018 and fiscal 2017 are reported in th</w:t>
      </w:r>
      <w:r>
        <w:rPr>
          <w:sz w:val="20"/>
          <w:szCs w:val="20"/>
        </w:rPr>
        <w:t xml:space="preserve">e column titled “Non-Equity Incentive Plan Compensation” in the Summary Compensation Table below. </w:t>
      </w:r>
    </w:p>
    <w:p w:rsidR="00000000" w:rsidRDefault="00827839">
      <w:pPr>
        <w:pStyle w:val="a3"/>
        <w:spacing w:before="240" w:beforeAutospacing="0" w:after="0" w:afterAutospacing="0"/>
        <w:ind w:firstLine="556"/>
        <w:jc w:val="both"/>
        <w:rPr>
          <w:sz w:val="20"/>
          <w:szCs w:val="20"/>
        </w:rPr>
      </w:pPr>
      <w:r>
        <w:rPr>
          <w:sz w:val="20"/>
          <w:szCs w:val="20"/>
        </w:rPr>
        <w:t>At its November 12, 2019 meeting, the Committee approved the following fiscal 2020 target cash bonus opportunities for our currently-employed named executive</w:t>
      </w:r>
      <w:r>
        <w:rPr>
          <w:sz w:val="20"/>
          <w:szCs w:val="20"/>
        </w:rPr>
        <w:t xml:space="preserve"> officers: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31"/>
        <w:gridCol w:w="125"/>
        <w:gridCol w:w="1146"/>
        <w:gridCol w:w="65"/>
        <w:gridCol w:w="119"/>
        <w:gridCol w:w="115"/>
        <w:gridCol w:w="1079"/>
        <w:gridCol w:w="65"/>
      </w:tblGrid>
      <w:tr w:rsidR="00000000">
        <w:trPr>
          <w:divId w:val="2051299206"/>
        </w:trPr>
        <w:tc>
          <w:tcPr>
            <w:tcW w:w="296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2020 Target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Cash Bonus as a</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Percentage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Base Salary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2020 Target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Cash Bonus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51299206"/>
        </w:trPr>
        <w:tc>
          <w:tcPr>
            <w:tcW w:w="2963"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8"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600,000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1299206"/>
        </w:trPr>
        <w:tc>
          <w:tcPr>
            <w:tcW w:w="29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320,000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1299206"/>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320,000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1299206"/>
        </w:trPr>
        <w:tc>
          <w:tcPr>
            <w:tcW w:w="29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288,000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40" w:beforeAutospacing="0" w:after="0" w:afterAutospacing="0"/>
        <w:jc w:val="both"/>
        <w:rPr>
          <w:color w:val="000000"/>
          <w:sz w:val="20"/>
          <w:szCs w:val="20"/>
        </w:rPr>
      </w:pPr>
      <w:r>
        <w:rPr>
          <w:color w:val="000000"/>
          <w:sz w:val="20"/>
          <w:szCs w:val="20"/>
        </w:rPr>
        <w:t>*  Mr. Abel retired as of October 1, 2019.</w:t>
      </w:r>
    </w:p>
    <w:p w:rsidR="00000000" w:rsidRDefault="00827839">
      <w:pPr>
        <w:pStyle w:val="a3"/>
        <w:spacing w:before="360" w:beforeAutospacing="0" w:after="0" w:afterAutospacing="0"/>
        <w:jc w:val="both"/>
        <w:rPr>
          <w:b/>
          <w:bCs/>
          <w:color w:val="000000"/>
          <w:sz w:val="20"/>
          <w:szCs w:val="20"/>
        </w:rPr>
      </w:pPr>
      <w:r>
        <w:rPr>
          <w:b/>
          <w:bCs/>
          <w:color w:val="000000"/>
          <w:sz w:val="20"/>
          <w:szCs w:val="20"/>
        </w:rPr>
        <w:t>Long-Term Incentive Plan</w:t>
      </w:r>
    </w:p>
    <w:p w:rsidR="00000000" w:rsidRDefault="00827839">
      <w:pPr>
        <w:pStyle w:val="a3"/>
        <w:spacing w:before="120" w:beforeAutospacing="0" w:after="0" w:afterAutospacing="0"/>
        <w:ind w:firstLine="556"/>
        <w:jc w:val="both"/>
        <w:rPr>
          <w:sz w:val="20"/>
          <w:szCs w:val="20"/>
        </w:rPr>
      </w:pPr>
      <w:r>
        <w:rPr>
          <w:sz w:val="20"/>
          <w:szCs w:val="20"/>
        </w:rPr>
        <w:t>To complement the annual cash bonus plan, which focuses on our short-term performance goals, the Long-Term Incentive Plan, which we hereafter refer to as the “LTIP,” is a phantom unit plan that is designed to motivate our executive officers to focus on our</w:t>
      </w:r>
      <w:r>
        <w:rPr>
          <w:sz w:val="20"/>
          <w:szCs w:val="20"/>
        </w:rPr>
        <w:t xml:space="preserve"> long-term financial goals.  </w:t>
      </w:r>
    </w:p>
    <w:p w:rsidR="00000000" w:rsidRDefault="00827839">
      <w:pPr>
        <w:pStyle w:val="a3"/>
        <w:spacing w:before="360" w:beforeAutospacing="0" w:after="0" w:afterAutospacing="0"/>
        <w:rPr>
          <w:i/>
          <w:iCs/>
          <w:color w:val="000000"/>
          <w:sz w:val="20"/>
          <w:szCs w:val="20"/>
        </w:rPr>
      </w:pPr>
      <w:r>
        <w:rPr>
          <w:i/>
          <w:iCs/>
          <w:color w:val="000000"/>
          <w:sz w:val="20"/>
          <w:szCs w:val="20"/>
        </w:rPr>
        <w:t>Performance Condition</w:t>
      </w:r>
    </w:p>
    <w:p w:rsidR="00000000" w:rsidRDefault="00827839">
      <w:pPr>
        <w:pStyle w:val="a3"/>
        <w:spacing w:before="120" w:beforeAutospacing="0" w:after="0" w:afterAutospacing="0"/>
        <w:ind w:firstLine="556"/>
        <w:jc w:val="both"/>
        <w:rPr>
          <w:sz w:val="20"/>
          <w:szCs w:val="20"/>
        </w:rPr>
      </w:pPr>
      <w:r>
        <w:rPr>
          <w:sz w:val="20"/>
          <w:szCs w:val="20"/>
        </w:rPr>
        <w:t>Under the LTIP, performance is assessed based on the level of our distribution coverage ratio over a three-year measurement period (“Distribution Coverage Ratio”).  This ratio will be calculated (as shown below) by dividing our Average Distributable Cash F</w:t>
      </w:r>
      <w:r>
        <w:rPr>
          <w:sz w:val="20"/>
          <w:szCs w:val="20"/>
        </w:rPr>
        <w:t>low generated during an outstanding award’s three-year measurement period by a Baseline Cash Flow set on the initial grant date of the award (i.e., the beginning of the award cycle’s three-year measurement period).  The Committee adopted this measure for L</w:t>
      </w:r>
      <w:r>
        <w:rPr>
          <w:sz w:val="20"/>
          <w:szCs w:val="20"/>
        </w:rPr>
        <w:t>TIP awards because the Partnership’s ability to support future cash distributions, and to demonstrate distribution growth, is essential to successfully attracting and retaining investors, making it an important long-term performance metric.</w:t>
      </w:r>
    </w:p>
    <w:p w:rsidR="00000000" w:rsidRDefault="00827839">
      <w:pPr>
        <w:pStyle w:val="a3"/>
        <w:spacing w:before="16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b/>
          <w:bCs/>
          <w:color w:val="000000"/>
          <w:sz w:val="20"/>
          <w:szCs w:val="20"/>
        </w:rPr>
      </w:pPr>
      <w:r>
        <w:rPr>
          <w:b/>
          <w:bCs/>
          <w:color w:val="000000"/>
          <w:sz w:val="20"/>
          <w:szCs w:val="20"/>
        </w:rPr>
        <w:t>Average Distr</w:t>
      </w:r>
      <w:r>
        <w:rPr>
          <w:b/>
          <w:bCs/>
          <w:color w:val="000000"/>
          <w:sz w:val="20"/>
          <w:szCs w:val="20"/>
        </w:rPr>
        <w:t>ibutable Cash Flow  </w:t>
      </w:r>
    </w:p>
    <w:p w:rsidR="00000000" w:rsidRDefault="00827839">
      <w:pPr>
        <w:pStyle w:val="a3"/>
        <w:spacing w:before="0" w:beforeAutospacing="0" w:after="0" w:afterAutospacing="0"/>
        <w:jc w:val="center"/>
        <w:rPr>
          <w:color w:val="000000"/>
          <w:sz w:val="20"/>
          <w:szCs w:val="20"/>
        </w:rPr>
      </w:pPr>
      <w:r>
        <w:rPr>
          <w:color w:val="000000"/>
          <w:sz w:val="20"/>
          <w:szCs w:val="20"/>
        </w:rPr>
        <w:t xml:space="preserve">(Average Actual Adjusted EBITDA less maintenance capital expenditures, cash interest expense and other adjustments) </w:t>
      </w:r>
    </w:p>
    <w:p w:rsidR="00000000" w:rsidRDefault="00827839">
      <w:pPr>
        <w:pStyle w:val="a3"/>
        <w:pBdr>
          <w:bottom w:val="single" w:sz="6" w:space="1" w:color="auto"/>
        </w:pBdr>
        <w:spacing w:before="0" w:beforeAutospacing="0" w:after="0" w:afterAutospacing="0"/>
        <w:ind w:left="1547" w:right="1547"/>
        <w:jc w:val="center"/>
        <w:rPr>
          <w:sz w:val="6"/>
          <w:szCs w:val="6"/>
        </w:rPr>
      </w:pPr>
      <w:r>
        <w:rPr>
          <w:sz w:val="6"/>
          <w:szCs w:val="6"/>
        </w:rPr>
        <w:t> </w:t>
      </w:r>
    </w:p>
    <w:p w:rsidR="00000000" w:rsidRDefault="00827839">
      <w:pPr>
        <w:pStyle w:val="a3"/>
        <w:spacing w:before="60" w:beforeAutospacing="0" w:after="0" w:afterAutospacing="0"/>
        <w:jc w:val="center"/>
        <w:rPr>
          <w:b/>
          <w:bCs/>
          <w:color w:val="000000"/>
          <w:sz w:val="20"/>
          <w:szCs w:val="20"/>
        </w:rPr>
      </w:pPr>
      <w:r>
        <w:rPr>
          <w:b/>
          <w:bCs/>
          <w:color w:val="000000"/>
          <w:sz w:val="20"/>
          <w:szCs w:val="20"/>
        </w:rPr>
        <w:t xml:space="preserve">Baseline Cash Flow </w:t>
      </w:r>
    </w:p>
    <w:p w:rsidR="00000000" w:rsidRDefault="00827839">
      <w:pPr>
        <w:pStyle w:val="a3"/>
        <w:spacing w:before="0" w:beforeAutospacing="0" w:after="0" w:afterAutospacing="0"/>
        <w:jc w:val="center"/>
        <w:rPr>
          <w:color w:val="000000"/>
          <w:sz w:val="20"/>
          <w:szCs w:val="20"/>
        </w:rPr>
      </w:pPr>
      <w:r>
        <w:rPr>
          <w:color w:val="000000"/>
          <w:sz w:val="20"/>
          <w:szCs w:val="20"/>
        </w:rPr>
        <w:t>(Total # of Common Units outstanding at beginning of the three-year measurement period times the</w:t>
      </w:r>
      <w:r>
        <w:rPr>
          <w:color w:val="000000"/>
          <w:sz w:val="20"/>
          <w:szCs w:val="20"/>
        </w:rPr>
        <w:t xml:space="preserve"> then annualized distribution rate)</w:t>
      </w:r>
    </w:p>
    <w:p w:rsidR="00000000" w:rsidRDefault="00827839">
      <w:pPr>
        <w:pStyle w:val="a3"/>
        <w:spacing w:before="40" w:beforeAutospacing="0" w:after="0" w:afterAutospacing="0"/>
        <w:jc w:val="center"/>
        <w:rPr>
          <w:sz w:val="20"/>
          <w:szCs w:val="20"/>
        </w:rPr>
      </w:pPr>
      <w:r>
        <w:rPr>
          <w:sz w:val="20"/>
          <w:szCs w:val="20"/>
        </w:rPr>
        <w:t> </w:t>
      </w:r>
    </w:p>
    <w:p w:rsidR="00000000" w:rsidRDefault="00827839">
      <w:pPr>
        <w:pStyle w:val="a3"/>
        <w:spacing w:before="0" w:beforeAutospacing="0" w:after="0" w:afterAutospacing="0"/>
        <w:rPr>
          <w:i/>
          <w:iCs/>
          <w:color w:val="000000"/>
          <w:sz w:val="20"/>
          <w:szCs w:val="20"/>
        </w:rPr>
      </w:pPr>
      <w:r>
        <w:rPr>
          <w:i/>
          <w:iCs/>
          <w:color w:val="000000"/>
          <w:sz w:val="20"/>
          <w:szCs w:val="20"/>
        </w:rPr>
        <w:t>Definitions</w:t>
      </w:r>
    </w:p>
    <w:p w:rsidR="00000000" w:rsidRDefault="00827839">
      <w:pPr>
        <w:pStyle w:val="a3"/>
        <w:spacing w:before="120" w:beforeAutospacing="0" w:after="0" w:afterAutospacing="0"/>
        <w:ind w:firstLine="556"/>
        <w:jc w:val="both"/>
        <w:rPr>
          <w:sz w:val="20"/>
          <w:szCs w:val="20"/>
        </w:rPr>
      </w:pPr>
      <w:r>
        <w:rPr>
          <w:sz w:val="20"/>
          <w:szCs w:val="20"/>
        </w:rPr>
        <w:t>Distributable Cash Flow: represents Actual Adjusted EBITDA for a particular fiscal year less maintenance capital expenditures, cash interest expense, and the provision for income taxes for the same fiscal y</w:t>
      </w:r>
      <w:r>
        <w:rPr>
          <w:sz w:val="20"/>
          <w:szCs w:val="20"/>
        </w:rPr>
        <w:t>ear.</w:t>
      </w:r>
    </w:p>
    <w:p w:rsidR="00000000" w:rsidRDefault="00827839">
      <w:pPr>
        <w:pStyle w:val="a3"/>
        <w:spacing w:before="240" w:beforeAutospacing="0" w:after="0" w:afterAutospacing="0"/>
        <w:ind w:firstLine="556"/>
        <w:jc w:val="both"/>
        <w:rPr>
          <w:sz w:val="20"/>
          <w:szCs w:val="20"/>
        </w:rPr>
      </w:pPr>
      <w:r>
        <w:rPr>
          <w:sz w:val="20"/>
          <w:szCs w:val="20"/>
        </w:rPr>
        <w:t>Actual Adjusted EBITDA: represents the same definition as Actual Adjusted EBITDA under the annual cash bonus plan.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59</w:t>
      </w:r>
    </w:p>
    <w:p w:rsidR="00000000" w:rsidRDefault="00827839">
      <w:pPr>
        <w:rPr>
          <w:rFonts w:eastAsia="Times New Roman"/>
        </w:rPr>
      </w:pPr>
      <w:r>
        <w:rPr>
          <w:rFonts w:eastAsia="Times New Roman"/>
        </w:rPr>
        <w:pict>
          <v:rect id="_x0000_i108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Average Distributable Cash Flow: represents average distributable cash flow for each of the three years in a particular award’s three-year measurement period, p</w:t>
      </w:r>
      <w:r>
        <w:rPr>
          <w:sz w:val="20"/>
          <w:szCs w:val="20"/>
        </w:rPr>
        <w:t>lus the product of the number of Common Units outstanding at the beginning of the three-year measurement period and the annual differences between the per Common Unit annualized distribution rate at the beginning of the three-year measurement period and th</w:t>
      </w:r>
      <w:r>
        <w:rPr>
          <w:sz w:val="20"/>
          <w:szCs w:val="20"/>
        </w:rPr>
        <w:t>e actual per Common Unit distributions paid during each of those three years.  </w:t>
      </w:r>
    </w:p>
    <w:p w:rsidR="00000000" w:rsidRDefault="00827839">
      <w:pPr>
        <w:pStyle w:val="a3"/>
        <w:spacing w:before="240" w:beforeAutospacing="0" w:after="0" w:afterAutospacing="0"/>
        <w:ind w:firstLine="556"/>
        <w:jc w:val="both"/>
        <w:rPr>
          <w:sz w:val="20"/>
          <w:szCs w:val="20"/>
        </w:rPr>
      </w:pPr>
      <w:r>
        <w:rPr>
          <w:sz w:val="20"/>
          <w:szCs w:val="20"/>
        </w:rPr>
        <w:t>Baseline Cash Flow: represents the total number of Common Units outstanding at the beginning of the three-year measurement period multiplied by the then per Common Unit annuali</w:t>
      </w:r>
      <w:r>
        <w:rPr>
          <w:sz w:val="20"/>
          <w:szCs w:val="20"/>
        </w:rPr>
        <w:t>zed distribution rate.</w:t>
      </w:r>
    </w:p>
    <w:p w:rsidR="00000000" w:rsidRDefault="00827839">
      <w:pPr>
        <w:pStyle w:val="a3"/>
        <w:spacing w:before="0" w:beforeAutospacing="0" w:after="0" w:afterAutospacing="0"/>
        <w:ind w:firstLine="556"/>
        <w:jc w:val="both"/>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The following table summarizes the performance targets and associated level of vesting, based on the achievement level of the Distribution Coverage Ratio.  </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191"/>
        <w:gridCol w:w="177"/>
        <w:gridCol w:w="3211"/>
        <w:gridCol w:w="66"/>
      </w:tblGrid>
      <w:tr w:rsidR="00000000">
        <w:trPr>
          <w:divId w:val="1036924541"/>
        </w:trPr>
        <w:tc>
          <w:tcPr>
            <w:tcW w:w="24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u w:val="single"/>
              </w:rPr>
              <w:t>Distribution Coverage Ratio</w:t>
            </w:r>
          </w:p>
        </w:tc>
        <w:tc>
          <w:tcPr>
            <w:tcW w:w="13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241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u w:val="single"/>
              </w:rPr>
              <w:t>% of Award Earned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36924541"/>
        </w:trPr>
        <w:tc>
          <w:tcPr>
            <w:tcW w:w="24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1.25 or higher (Maxim</w:t>
            </w:r>
            <w:r>
              <w:rPr>
                <w:color w:val="000000"/>
                <w:sz w:val="20"/>
                <w:szCs w:val="20"/>
              </w:rPr>
              <w:t>um)</w:t>
            </w:r>
          </w:p>
        </w:tc>
        <w:tc>
          <w:tcPr>
            <w:tcW w:w="13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36924541"/>
        </w:trPr>
        <w:tc>
          <w:tcPr>
            <w:tcW w:w="24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1.10 (Target)</w:t>
            </w:r>
          </w:p>
        </w:tc>
        <w:tc>
          <w:tcPr>
            <w:tcW w:w="13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36924541"/>
        </w:trPr>
        <w:tc>
          <w:tcPr>
            <w:tcW w:w="24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 (Entry)</w:t>
            </w:r>
          </w:p>
        </w:tc>
        <w:tc>
          <w:tcPr>
            <w:tcW w:w="13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36924541"/>
        </w:trPr>
        <w:tc>
          <w:tcPr>
            <w:tcW w:w="24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Less than 1.00</w:t>
            </w:r>
          </w:p>
        </w:tc>
        <w:tc>
          <w:tcPr>
            <w:tcW w:w="13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40" w:beforeAutospacing="0" w:after="0" w:afterAutospacing="0"/>
        <w:ind w:firstLine="556"/>
        <w:jc w:val="both"/>
        <w:rPr>
          <w:sz w:val="20"/>
          <w:szCs w:val="20"/>
        </w:rPr>
      </w:pPr>
      <w:r>
        <w:rPr>
          <w:sz w:val="20"/>
          <w:szCs w:val="20"/>
        </w:rPr>
        <w:t>For every additional 0.01 increase in the Distribution Coverage Ratio, an additional 5% of the award will be earned.  Between target and maximum performance, awards will be earned according to the following schedule:</w:t>
      </w:r>
    </w:p>
    <w:p w:rsidR="00000000" w:rsidRDefault="00827839">
      <w:pPr>
        <w:pStyle w:val="a3"/>
        <w:spacing w:before="0" w:beforeAutospacing="0" w:after="0" w:afterAutospacing="0"/>
        <w:ind w:firstLine="408"/>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191"/>
        <w:gridCol w:w="177"/>
        <w:gridCol w:w="3211"/>
        <w:gridCol w:w="66"/>
      </w:tblGrid>
      <w:tr w:rsidR="00000000">
        <w:trPr>
          <w:divId w:val="355893083"/>
        </w:trPr>
        <w:tc>
          <w:tcPr>
            <w:tcW w:w="24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u w:val="single"/>
              </w:rPr>
              <w:t>Distribution Coverage Ratio</w:t>
            </w:r>
          </w:p>
        </w:tc>
        <w:tc>
          <w:tcPr>
            <w:tcW w:w="13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241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u w:val="single"/>
              </w:rPr>
              <w:t>% of Award Earned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1.25 or higher</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150.0%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1.24</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146.7%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1.23</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143.3%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1.22</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140.0%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1.21</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136.7%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1.20</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133.3%</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1.19</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130.0%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1.18</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126.7%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1.17</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123.3%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1.16</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1.15</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116.7%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1.14</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113.3%</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1.13</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1.12</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106.7%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1.11</w:t>
            </w:r>
          </w:p>
        </w:tc>
        <w:tc>
          <w:tcPr>
            <w:tcW w:w="13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103.3%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55893083"/>
        </w:trPr>
        <w:tc>
          <w:tcPr>
            <w:tcW w:w="24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1.10</w:t>
            </w:r>
          </w:p>
        </w:tc>
        <w:tc>
          <w:tcPr>
            <w:tcW w:w="13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241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360" w:beforeAutospacing="0" w:after="0" w:afterAutospacing="0"/>
        <w:jc w:val="both"/>
        <w:rPr>
          <w:i/>
          <w:iCs/>
          <w:color w:val="000000"/>
          <w:sz w:val="20"/>
          <w:szCs w:val="20"/>
        </w:rPr>
      </w:pPr>
      <w:r>
        <w:rPr>
          <w:i/>
          <w:iCs/>
          <w:color w:val="000000"/>
          <w:sz w:val="20"/>
          <w:szCs w:val="20"/>
        </w:rPr>
        <w:t>Grant Process</w:t>
      </w:r>
    </w:p>
    <w:p w:rsidR="00000000" w:rsidRDefault="00827839">
      <w:pPr>
        <w:pStyle w:val="a3"/>
        <w:spacing w:before="120" w:beforeAutospacing="0" w:after="0" w:afterAutospacing="0"/>
        <w:ind w:firstLine="556"/>
        <w:jc w:val="both"/>
        <w:rPr>
          <w:sz w:val="20"/>
          <w:szCs w:val="20"/>
        </w:rPr>
      </w:pPr>
      <w:r>
        <w:rPr>
          <w:sz w:val="20"/>
          <w:szCs w:val="20"/>
        </w:rPr>
        <w:t>At the beginning of each fiscal year, LTIP phantom unit awards are granted as a Committee-approved percentage of each named executive officer’s salary.  In accordance with the terms of the LTIP, at the beginning of each three-year measurement period, the n</w:t>
      </w:r>
      <w:r>
        <w:rPr>
          <w:sz w:val="20"/>
          <w:szCs w:val="20"/>
        </w:rPr>
        <w:t xml:space="preserve">umber of each named executive officer’s unvested LTIP phantom unit award is calculated by dividing his target LTIP amount (representing 50% of that named executive officer’s target cash bonus under the annual cash bonus plan) by the average of the closing </w:t>
      </w:r>
      <w:r>
        <w:rPr>
          <w:sz w:val="20"/>
          <w:szCs w:val="20"/>
        </w:rPr>
        <w:t>prices of our Common Units for the twenty days preceding the beginning of the three-year measurement period.  </w:t>
      </w:r>
    </w:p>
    <w:p w:rsidR="00000000" w:rsidRDefault="00827839">
      <w:pPr>
        <w:pStyle w:val="a3"/>
        <w:spacing w:before="360" w:beforeAutospacing="0" w:after="0" w:afterAutospacing="0"/>
        <w:rPr>
          <w:i/>
          <w:iCs/>
          <w:color w:val="000000"/>
          <w:sz w:val="20"/>
          <w:szCs w:val="20"/>
        </w:rPr>
      </w:pPr>
      <w:r>
        <w:rPr>
          <w:i/>
          <w:iCs/>
          <w:color w:val="000000"/>
          <w:sz w:val="20"/>
          <w:szCs w:val="20"/>
        </w:rPr>
        <w:t>Cash Payments</w:t>
      </w:r>
    </w:p>
    <w:p w:rsidR="00000000" w:rsidRDefault="00827839">
      <w:pPr>
        <w:pStyle w:val="a3"/>
        <w:spacing w:before="120" w:beforeAutospacing="0" w:after="0" w:afterAutospacing="0"/>
        <w:ind w:firstLine="556"/>
        <w:jc w:val="both"/>
        <w:rPr>
          <w:color w:val="000000"/>
          <w:sz w:val="20"/>
          <w:szCs w:val="20"/>
        </w:rPr>
      </w:pPr>
      <w:r>
        <w:rPr>
          <w:color w:val="000000"/>
          <w:sz w:val="20"/>
          <w:szCs w:val="20"/>
        </w:rPr>
        <w:t>For awards granted under the LTIP, our named executive officers, as well as the other LTIP participants (all of whom are key employ</w:t>
      </w:r>
      <w:r>
        <w:rPr>
          <w:color w:val="000000"/>
          <w:sz w:val="20"/>
          <w:szCs w:val="20"/>
        </w:rPr>
        <w:t>ees), will, at the end of the three-year measurement period, receive cash payments equal to:</w:t>
      </w:r>
    </w:p>
    <w:p w:rsidR="00000000" w:rsidRDefault="00827839">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0170601"/>
        </w:trPr>
        <w:tc>
          <w:tcPr>
            <w:tcW w:w="227" w:type="pct"/>
            <w:noWrap/>
            <w:hideMark/>
          </w:tcPr>
          <w:p w:rsidR="00000000" w:rsidRDefault="00827839">
            <w:pPr>
              <w:pStyle w:val="a3"/>
              <w:spacing w:before="0" w:beforeAutospacing="0" w:after="12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12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120" w:afterAutospacing="0"/>
              <w:jc w:val="both"/>
              <w:rPr>
                <w:color w:val="000000"/>
                <w:sz w:val="20"/>
                <w:szCs w:val="20"/>
              </w:rPr>
            </w:pPr>
            <w:r>
              <w:rPr>
                <w:color w:val="000000"/>
                <w:sz w:val="20"/>
                <w:szCs w:val="20"/>
              </w:rPr>
              <w:t>The quantity of the participant’s phantom units multiplied by the average of the closing prices of our Common Units for the twenty days preceding the conclus</w:t>
            </w:r>
            <w:r>
              <w:rPr>
                <w:color w:val="000000"/>
                <w:sz w:val="20"/>
                <w:szCs w:val="20"/>
              </w:rPr>
              <w:t>ion of the three-year measurement period;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0" w:beforeAutospacing="0" w:after="12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12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120" w:afterAutospacing="0"/>
              <w:jc w:val="both"/>
              <w:rPr>
                <w:color w:val="000000"/>
                <w:sz w:val="20"/>
                <w:szCs w:val="20"/>
              </w:rPr>
            </w:pPr>
            <w:r>
              <w:rPr>
                <w:color w:val="000000"/>
                <w:sz w:val="20"/>
                <w:szCs w:val="20"/>
              </w:rPr>
              <w:t>The quantity of the participant’</w:t>
            </w:r>
            <w:r>
              <w:rPr>
                <w:color w:val="000000"/>
                <w:sz w:val="20"/>
                <w:szCs w:val="20"/>
              </w:rPr>
              <w:t>s phantom units multiplied by the sum of the distributions that would have inured to one of our outstanding Common Units during the three-year measurement period; and</w:t>
            </w:r>
          </w:p>
        </w:tc>
      </w:tr>
    </w:tbl>
    <w:p w:rsidR="00000000" w:rsidRDefault="00827839">
      <w:pPr>
        <w:divId w:val="8867063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8670633"/>
        </w:trPr>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0" w:afterAutospacing="0"/>
              <w:jc w:val="both"/>
              <w:rPr>
                <w:color w:val="000000"/>
                <w:sz w:val="20"/>
                <w:szCs w:val="20"/>
              </w:rPr>
            </w:pPr>
            <w:r>
              <w:rPr>
                <w:color w:val="000000"/>
                <w:sz w:val="20"/>
                <w:szCs w:val="20"/>
              </w:rPr>
              <w:t>The sum of the products of the two preceding calculations multiplied by the applica</w:t>
            </w:r>
            <w:r>
              <w:rPr>
                <w:color w:val="000000"/>
                <w:sz w:val="20"/>
                <w:szCs w:val="20"/>
              </w:rPr>
              <w:t>ble percentage corresponding to the Distribution Coverage Ratio illustrated in the applicable preceding table (based on the fiscal year for which the award was granted).</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60</w:t>
      </w:r>
    </w:p>
    <w:p w:rsidR="00000000" w:rsidRDefault="00827839">
      <w:pPr>
        <w:rPr>
          <w:rFonts w:eastAsia="Times New Roman"/>
        </w:rPr>
      </w:pPr>
      <w:r>
        <w:rPr>
          <w:rFonts w:eastAsia="Times New Roman"/>
        </w:rPr>
        <w:pict>
          <v:rect id="_x0000_i108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color w:val="000000"/>
          <w:sz w:val="20"/>
          <w:szCs w:val="20"/>
        </w:rPr>
      </w:pPr>
      <w:r>
        <w:rPr>
          <w:color w:val="000000"/>
          <w:sz w:val="20"/>
          <w:szCs w:val="20"/>
        </w:rPr>
        <w:t>The grant date values based on the target outcomes of the awards under the LTIP granted during fiscal 2019, fiscal 2018 and fiscal 2017 are reported in the column titled “Unit Awards” in the Summary Compensation Table below.  </w:t>
      </w:r>
    </w:p>
    <w:p w:rsidR="00000000" w:rsidRDefault="00827839">
      <w:pPr>
        <w:pStyle w:val="a3"/>
        <w:spacing w:before="360" w:beforeAutospacing="0" w:after="0" w:afterAutospacing="0"/>
        <w:rPr>
          <w:i/>
          <w:iCs/>
          <w:color w:val="000000"/>
          <w:sz w:val="20"/>
          <w:szCs w:val="20"/>
        </w:rPr>
      </w:pPr>
      <w:r>
        <w:rPr>
          <w:i/>
          <w:iCs/>
          <w:color w:val="000000"/>
          <w:sz w:val="20"/>
          <w:szCs w:val="20"/>
        </w:rPr>
        <w:t>Outstanding Awards under the LTIP</w:t>
      </w:r>
    </w:p>
    <w:p w:rsidR="00000000" w:rsidRDefault="00827839">
      <w:pPr>
        <w:pStyle w:val="a3"/>
        <w:spacing w:before="120" w:beforeAutospacing="0" w:after="0" w:afterAutospacing="0"/>
        <w:ind w:firstLine="556"/>
        <w:jc w:val="both"/>
        <w:rPr>
          <w:sz w:val="20"/>
          <w:szCs w:val="20"/>
        </w:rPr>
      </w:pPr>
      <w:r>
        <w:rPr>
          <w:sz w:val="20"/>
          <w:szCs w:val="20"/>
        </w:rPr>
        <w:t xml:space="preserve">The following are the quantities of unvested LTIP phantom units granted to our named executive officers during fiscal 2019 and fiscal 2018 that will be used to calculate cash payments at the end of each award’s respective </w:t>
      </w:r>
      <w:r>
        <w:rPr>
          <w:sz w:val="20"/>
          <w:szCs w:val="20"/>
        </w:rPr>
        <w:t>three-year measurement period (i.e., at the end of fiscal 2021 for the fiscal 2019 awards and at the end of fiscal 2020 for the fiscal 2018 awards):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40"/>
        <w:gridCol w:w="134"/>
        <w:gridCol w:w="66"/>
        <w:gridCol w:w="1087"/>
        <w:gridCol w:w="66"/>
        <w:gridCol w:w="133"/>
        <w:gridCol w:w="66"/>
        <w:gridCol w:w="1087"/>
        <w:gridCol w:w="66"/>
      </w:tblGrid>
      <w:tr w:rsidR="00000000">
        <w:trPr>
          <w:divId w:val="254093636"/>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2019 Award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2018 Award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54093636"/>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11,928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11,181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54093636"/>
        </w:trPr>
        <w:tc>
          <w:tcPr>
            <w:tcW w:w="29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6,333</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5,936</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54093636"/>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6,333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5,936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54093636"/>
        </w:trPr>
        <w:tc>
          <w:tcPr>
            <w:tcW w:w="29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5,812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5,448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54093636"/>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5,639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5,286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At its meeting on November 12, 2019, the Committee granted the following quantities of unvested LTIP phantom units to our named executive officers for fiscal 2020.  These quantities will be used to calculate cash payments, if earned, at the end of this awa</w:t>
      </w:r>
      <w:r>
        <w:rPr>
          <w:sz w:val="20"/>
          <w:szCs w:val="20"/>
        </w:rPr>
        <w:t>rd’s three-year measurement period (i.e., at the end of fiscal 2022).</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953"/>
        <w:gridCol w:w="163"/>
        <w:gridCol w:w="66"/>
        <w:gridCol w:w="1397"/>
        <w:gridCol w:w="66"/>
      </w:tblGrid>
      <w:tr w:rsidR="00000000">
        <w:trPr>
          <w:divId w:val="944266905"/>
        </w:trPr>
        <w:tc>
          <w:tcPr>
            <w:tcW w:w="37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0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2020 Award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944266905"/>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1"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12,650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44266905"/>
        </w:trPr>
        <w:tc>
          <w:tcPr>
            <w:tcW w:w="37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1"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6,747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44266905"/>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1"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6,747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44266905"/>
        </w:trPr>
        <w:tc>
          <w:tcPr>
            <w:tcW w:w="37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1"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6,072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44266905"/>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1"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5,482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pPr>
      <w:r>
        <w:t> </w:t>
      </w:r>
    </w:p>
    <w:p w:rsidR="00000000" w:rsidRDefault="00827839">
      <w:pPr>
        <w:pStyle w:val="a3"/>
        <w:spacing w:before="0" w:beforeAutospacing="0" w:after="0" w:afterAutospacing="0"/>
        <w:jc w:val="both"/>
        <w:rPr>
          <w:color w:val="000000"/>
          <w:sz w:val="20"/>
          <w:szCs w:val="20"/>
        </w:rPr>
      </w:pPr>
      <w:r>
        <w:rPr>
          <w:color w:val="000000"/>
          <w:sz w:val="20"/>
          <w:szCs w:val="20"/>
        </w:rPr>
        <w:t>*  </w:t>
      </w:r>
      <w:r>
        <w:rPr>
          <w:color w:val="000000"/>
          <w:sz w:val="20"/>
          <w:szCs w:val="20"/>
        </w:rPr>
        <w:t>Mr. Abel was granted an award of unvested LTIP phantom units for fiscal 2020 because he was still an executive officer on September 29, 2019, the first day of our 2020 fiscal year.</w:t>
      </w:r>
    </w:p>
    <w:p w:rsidR="00000000" w:rsidRDefault="00827839">
      <w:pPr>
        <w:pStyle w:val="a3"/>
        <w:spacing w:before="360" w:beforeAutospacing="0" w:after="0" w:afterAutospacing="0"/>
        <w:rPr>
          <w:i/>
          <w:iCs/>
          <w:color w:val="000000"/>
          <w:sz w:val="20"/>
          <w:szCs w:val="20"/>
        </w:rPr>
      </w:pPr>
      <w:r>
        <w:rPr>
          <w:i/>
          <w:iCs/>
          <w:color w:val="000000"/>
          <w:sz w:val="20"/>
          <w:szCs w:val="20"/>
        </w:rPr>
        <w:t>Vesting of the LTIP Awards</w:t>
      </w:r>
    </w:p>
    <w:p w:rsidR="00000000" w:rsidRDefault="00827839">
      <w:pPr>
        <w:pStyle w:val="a3"/>
        <w:spacing w:before="120" w:beforeAutospacing="0" w:after="0" w:afterAutospacing="0"/>
        <w:ind w:firstLine="556"/>
        <w:jc w:val="both"/>
        <w:rPr>
          <w:sz w:val="20"/>
          <w:szCs w:val="20"/>
        </w:rPr>
      </w:pPr>
      <w:r>
        <w:rPr>
          <w:sz w:val="20"/>
          <w:szCs w:val="20"/>
        </w:rPr>
        <w:t xml:space="preserve">The three-year measurement period of the fiscal </w:t>
      </w:r>
      <w:r>
        <w:rPr>
          <w:sz w:val="20"/>
          <w:szCs w:val="20"/>
        </w:rPr>
        <w:t>2017 awards ended simultaneously with the conclusion of fiscal 2019.  As a result of the impact of the two consecutive record warm winter heating seasons on the level of Distributable Cash Flow for both fiscal 2016 and fiscal 2017, it was anticipated that,</w:t>
      </w:r>
      <w:r>
        <w:rPr>
          <w:sz w:val="20"/>
          <w:szCs w:val="20"/>
        </w:rPr>
        <w:t xml:space="preserve"> under the normative provisions of the LTIP, participants would not have earned a cash payout under the fiscal 2017 award.  Accordingly, during fiscal 2017 the Committee engaged WTW to review and suggest possible modifications to the LTIP design in order t</w:t>
      </w:r>
      <w:r>
        <w:rPr>
          <w:sz w:val="20"/>
          <w:szCs w:val="20"/>
        </w:rPr>
        <w:t>o help mitigate its predominant dependence on weather-related factors.  At its meeting on July 18, 2017, the Committee reviewed a number of alternatives provided by WTW, but decided that, given the long-term nature of the LTIP, modifications to mitigate th</w:t>
      </w:r>
      <w:r>
        <w:rPr>
          <w:sz w:val="20"/>
          <w:szCs w:val="20"/>
        </w:rPr>
        <w:t>e impacts of unseasonably warm weather were not warranted since they would require introducing significant subjectivity into the LTIP design. However, in an effort to continue to incent management for the remainder of the fiscal 2017 award’s measurement pe</w:t>
      </w:r>
      <w:r>
        <w:rPr>
          <w:sz w:val="20"/>
          <w:szCs w:val="20"/>
        </w:rPr>
        <w:t xml:space="preserve">riod, the Committee decided that it would exercise its discretionary authority under the LTIP to make a retroactive adjustment to the Baseline Cash Flow calculation of the fiscal 2017 award.  Therefore, </w:t>
      </w:r>
      <w:r>
        <w:rPr>
          <w:color w:val="000000"/>
          <w:sz w:val="20"/>
          <w:szCs w:val="20"/>
        </w:rPr>
        <w:t>at a special telephonic meeting on September 27, 2017</w:t>
      </w:r>
      <w:r>
        <w:rPr>
          <w:color w:val="000000"/>
          <w:sz w:val="20"/>
          <w:szCs w:val="20"/>
        </w:rPr>
        <w:t>, the Committee approved a retroactive adjustment to the Baseline Cash Flow calculation of the fiscal 2017 award to reflect the annualized distribution rate to be approved by the Board of Supervisors at its October 2017 meeting in respect of the fourth qua</w:t>
      </w:r>
      <w:r>
        <w:rPr>
          <w:color w:val="000000"/>
          <w:sz w:val="20"/>
          <w:szCs w:val="20"/>
        </w:rPr>
        <w:t>rter of fiscal 2017, as if that were the annualized distribution rate in effect since the beginning of fiscal 2017.  In addition, in light of the retroactive nature of this adjustment to the calculation, the Committee elected to cap the maximum potential a</w:t>
      </w:r>
      <w:r>
        <w:rPr>
          <w:color w:val="000000"/>
          <w:sz w:val="20"/>
          <w:szCs w:val="20"/>
        </w:rPr>
        <w:t>mount that can be earned by the LTIP participants for the fiscal 2017 award at 120% of the target payment amounts.  As a result of this modification to the fiscal 2017 award calculation, the Partnership’s Distribution Coverage Ratio was such that the parti</w:t>
      </w:r>
      <w:r>
        <w:rPr>
          <w:color w:val="000000"/>
          <w:sz w:val="20"/>
          <w:szCs w:val="20"/>
        </w:rPr>
        <w:t>cipants, including our named executive officers, earned 120% of their target payment amounts.  </w:t>
      </w:r>
      <w:r>
        <w:rPr>
          <w:sz w:val="20"/>
          <w:szCs w:val="20"/>
        </w:rPr>
        <w:t xml:space="preserve">   </w:t>
      </w:r>
    </w:p>
    <w:p w:rsidR="00000000" w:rsidRDefault="00827839">
      <w:pPr>
        <w:pStyle w:val="a3"/>
        <w:spacing w:before="360" w:beforeAutospacing="0" w:after="0" w:afterAutospacing="0"/>
        <w:rPr>
          <w:i/>
          <w:iCs/>
          <w:color w:val="000000"/>
          <w:sz w:val="20"/>
          <w:szCs w:val="20"/>
        </w:rPr>
      </w:pPr>
      <w:r>
        <w:rPr>
          <w:i/>
          <w:iCs/>
          <w:color w:val="000000"/>
          <w:sz w:val="20"/>
          <w:szCs w:val="20"/>
        </w:rPr>
        <w:t>Retirement Provision</w:t>
      </w:r>
    </w:p>
    <w:p w:rsidR="00000000" w:rsidRDefault="00827839">
      <w:pPr>
        <w:pStyle w:val="a3"/>
        <w:spacing w:before="120" w:beforeAutospacing="0" w:after="0" w:afterAutospacing="0"/>
        <w:ind w:firstLine="556"/>
        <w:jc w:val="both"/>
        <w:rPr>
          <w:color w:val="000000"/>
          <w:sz w:val="20"/>
          <w:szCs w:val="20"/>
        </w:rPr>
      </w:pPr>
      <w:r>
        <w:rPr>
          <w:color w:val="000000"/>
          <w:sz w:val="20"/>
          <w:szCs w:val="20"/>
        </w:rPr>
        <w:t xml:space="preserve">The retirement provision applies to all LTIP participants who have been employed by the Partnership for ten years and have attained age </w:t>
      </w:r>
      <w:r>
        <w:rPr>
          <w:color w:val="000000"/>
          <w:sz w:val="20"/>
          <w:szCs w:val="20"/>
        </w:rPr>
        <w:t>55.  A retirement-eligible participant’s outstanding awards under the LTIP will vest as of the retirement-eligible date, but will remain subject to the same three-year measurement period for purposes of determining the eventual cash payment, if any, at the</w:t>
      </w:r>
      <w:r>
        <w:rPr>
          <w:color w:val="000000"/>
          <w:sz w:val="20"/>
          <w:szCs w:val="20"/>
        </w:rPr>
        <w:t xml:space="preserve"> conclusion of the remaining measurement period. Mr. Boyd, Mr. Brinkworth and Mr. Abel are our only named executive officers to whom this retirement provision applied at the conclusion of fiscal 2019.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61</w:t>
      </w:r>
    </w:p>
    <w:p w:rsidR="00000000" w:rsidRDefault="00827839">
      <w:pPr>
        <w:rPr>
          <w:rFonts w:eastAsia="Times New Roman"/>
        </w:rPr>
      </w:pPr>
      <w:r>
        <w:rPr>
          <w:rFonts w:eastAsia="Times New Roman"/>
        </w:rPr>
        <w:pict>
          <v:rect id="_x0000_i108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color w:val="000000"/>
          <w:sz w:val="20"/>
          <w:szCs w:val="20"/>
        </w:rPr>
      </w:pPr>
      <w:r>
        <w:rPr>
          <w:color w:val="000000"/>
          <w:sz w:val="20"/>
          <w:szCs w:val="20"/>
        </w:rPr>
        <w:t>At its November 12, 2019 meeting, the Committee re-evaluated the LTIP to ensure that the plan provides the opportunity to earn an incentive that is challenging,</w:t>
      </w:r>
      <w:r>
        <w:rPr>
          <w:color w:val="000000"/>
          <w:sz w:val="20"/>
          <w:szCs w:val="20"/>
        </w:rPr>
        <w:t xml:space="preserve"> yet reasonably attainable.  With that in mind, the Committee increased the distribution coverage ratios at which target and maximum payout levels can be earned under the LTIP.  The following is a comparison of the current thresholds applicable to the outs</w:t>
      </w:r>
      <w:r>
        <w:rPr>
          <w:color w:val="000000"/>
          <w:sz w:val="20"/>
          <w:szCs w:val="20"/>
        </w:rPr>
        <w:t>tanding LTIP awards for fiscal 2018 and fiscal 2019, to the new performance criteria, to which the fiscal 2020 awards and all future awards will be subject:</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537"/>
        <w:gridCol w:w="1210"/>
        <w:gridCol w:w="90"/>
        <w:gridCol w:w="1145"/>
        <w:gridCol w:w="66"/>
        <w:gridCol w:w="89"/>
        <w:gridCol w:w="1209"/>
        <w:gridCol w:w="89"/>
        <w:gridCol w:w="1144"/>
        <w:gridCol w:w="66"/>
      </w:tblGrid>
      <w:tr w:rsidR="00000000">
        <w:trPr>
          <w:divId w:val="1634403640"/>
        </w:trPr>
        <w:tc>
          <w:tcPr>
            <w:tcW w:w="11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1838" w:type="pct"/>
            <w:gridSpan w:val="3"/>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Current LTIP Thresholds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838" w:type="pct"/>
            <w:gridSpan w:val="3"/>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New LTIP Thresholds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34403640"/>
        </w:trPr>
        <w:tc>
          <w:tcPr>
            <w:tcW w:w="11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91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Distribution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Coverage Ratio</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6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of Award Earned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1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Distribution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Coverage Ratio</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6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of Award Earned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34403640"/>
        </w:trPr>
        <w:tc>
          <w:tcPr>
            <w:tcW w:w="115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Minimum Level</w:t>
            </w:r>
          </w:p>
        </w:tc>
        <w:tc>
          <w:tcPr>
            <w:tcW w:w="910"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1.00x</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0"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10"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1.00x</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0"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34403640"/>
        </w:trPr>
        <w:tc>
          <w:tcPr>
            <w:tcW w:w="115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2"/>
                <w:szCs w:val="22"/>
              </w:rPr>
            </w:pPr>
            <w:r>
              <w:rPr>
                <w:color w:val="000000"/>
                <w:sz w:val="22"/>
                <w:szCs w:val="22"/>
              </w:rPr>
              <w:t>Target Level</w:t>
            </w:r>
          </w:p>
        </w:tc>
        <w:tc>
          <w:tcPr>
            <w:tcW w:w="91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1.10x</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1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1.25x</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34403640"/>
        </w:trPr>
        <w:tc>
          <w:tcPr>
            <w:tcW w:w="115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Maximum Level</w:t>
            </w:r>
          </w:p>
        </w:tc>
        <w:tc>
          <w:tcPr>
            <w:tcW w:w="91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1.25x</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1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1.50x</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360" w:beforeAutospacing="0" w:after="0" w:afterAutospacing="0"/>
        <w:jc w:val="both"/>
        <w:rPr>
          <w:b/>
          <w:bCs/>
          <w:color w:val="000000"/>
          <w:sz w:val="20"/>
          <w:szCs w:val="20"/>
        </w:rPr>
      </w:pPr>
      <w:r>
        <w:rPr>
          <w:b/>
          <w:bCs/>
          <w:color w:val="000000"/>
          <w:sz w:val="20"/>
          <w:szCs w:val="20"/>
        </w:rPr>
        <w:t>Restricted Unit Plans</w:t>
      </w:r>
    </w:p>
    <w:p w:rsidR="00000000" w:rsidRDefault="00827839">
      <w:pPr>
        <w:pStyle w:val="a3"/>
        <w:spacing w:before="120" w:beforeAutospacing="0" w:after="0" w:afterAutospacing="0"/>
        <w:ind w:firstLine="556"/>
        <w:jc w:val="both"/>
        <w:rPr>
          <w:sz w:val="20"/>
          <w:szCs w:val="20"/>
        </w:rPr>
      </w:pPr>
      <w:r>
        <w:rPr>
          <w:sz w:val="20"/>
          <w:szCs w:val="20"/>
        </w:rPr>
        <w:t>At their July 22, 2009 Tri-Annual Meeting, our Unitholders approved the adoption of our 2009 Restricted Unit Plan (“RUP”) effective August 1, 2009.  </w:t>
      </w:r>
      <w:r>
        <w:rPr>
          <w:sz w:val="20"/>
          <w:szCs w:val="20"/>
        </w:rPr>
        <w:t>Upon adoption, this plan authorized the issuance of 1,200,000 Common Units to our named executive officers, managers, other employees and to the members of our Board of Supervisors.  On May 13, 2015, following approval by our Unitholders at their 2015 Tri-</w:t>
      </w:r>
      <w:r>
        <w:rPr>
          <w:sz w:val="20"/>
          <w:szCs w:val="20"/>
        </w:rPr>
        <w:t>Annual Meeting, we adopted an amendment to this plan which increased the number of Common Units authorized for issuance under this plan by 1,200,000 for a total of 2,400,000.  At the conclusion of fiscal 2018, there remained 445,804 restricted units availa</w:t>
      </w:r>
      <w:r>
        <w:rPr>
          <w:sz w:val="20"/>
          <w:szCs w:val="20"/>
        </w:rPr>
        <w:t>ble under the RUP for future awards, all of which were awarded by the Committee at their meeting on November 13, 2018.</w:t>
      </w:r>
    </w:p>
    <w:p w:rsidR="00000000" w:rsidRDefault="00827839">
      <w:pPr>
        <w:pStyle w:val="a3"/>
        <w:spacing w:before="240" w:beforeAutospacing="0" w:after="0" w:afterAutospacing="0"/>
        <w:ind w:firstLine="556"/>
        <w:jc w:val="both"/>
        <w:rPr>
          <w:sz w:val="20"/>
          <w:szCs w:val="20"/>
        </w:rPr>
      </w:pPr>
      <w:r>
        <w:rPr>
          <w:sz w:val="20"/>
          <w:szCs w:val="20"/>
        </w:rPr>
        <w:t>Because the RUP was scheduled to terminate, by its terms, on July 31, 2019, at their May 15, 2018 Tri-Annual Meeting, our Unitholders app</w:t>
      </w:r>
      <w:r>
        <w:rPr>
          <w:sz w:val="20"/>
          <w:szCs w:val="20"/>
        </w:rPr>
        <w:t>roved the adoption of our 2018 Restricted Unit Plan (“RUP-2”).  Upon adoption, this plan authorized the issuance of 1,800,000 Common Units to our named executive officers, managers, other employees and to members of our Board of Supervisors.  The provision</w:t>
      </w:r>
      <w:r>
        <w:rPr>
          <w:sz w:val="20"/>
          <w:szCs w:val="20"/>
        </w:rPr>
        <w:t>s of the RUP-2 are substantially identical to the provisions of the RUP with two notable exceptions:  First, for those individuals who meet the retirement-eligible criteria of the retirement provisions of the RUP-2, unvested awards must be held for more th</w:t>
      </w:r>
      <w:r>
        <w:rPr>
          <w:sz w:val="20"/>
          <w:szCs w:val="20"/>
        </w:rPr>
        <w:t>an twelve months in order for the retirement provisions of the plan document to apply to such award.  This differs from the retirement provisions of the RUP that require a holding period of more than six months for such awards.  Second, unlike the RUP, the</w:t>
      </w:r>
      <w:r>
        <w:rPr>
          <w:sz w:val="20"/>
          <w:szCs w:val="20"/>
        </w:rPr>
        <w:t xml:space="preserve"> provisions of the RUP-2 place a limit of five percent (5%) of the number of units then authorized for issuance under the plan on the number of restricted units that may (a) be awarded with a vesting schedule other than the standard vesting schedule descri</w:t>
      </w:r>
      <w:r>
        <w:rPr>
          <w:sz w:val="20"/>
          <w:szCs w:val="20"/>
        </w:rPr>
        <w:t>bed below, and (b) subject to certain limited exceptions, have their vesting accelerated to a date prior to the twelve month anniversary of the effective date of their grant. When the Committee authorizes an award of restricted units, the unvested units un</w:t>
      </w:r>
      <w:r>
        <w:rPr>
          <w:sz w:val="20"/>
          <w:szCs w:val="20"/>
        </w:rPr>
        <w:t>derlying an award do not provide the grantee with voting rights and do not receive distributions or accrue rights to distributions during the vesting period.  </w:t>
      </w:r>
    </w:p>
    <w:p w:rsidR="00000000" w:rsidRDefault="00827839">
      <w:pPr>
        <w:pStyle w:val="a3"/>
        <w:spacing w:before="360" w:beforeAutospacing="0" w:after="0" w:afterAutospacing="0"/>
        <w:rPr>
          <w:i/>
          <w:iCs/>
          <w:color w:val="000000"/>
          <w:sz w:val="20"/>
          <w:szCs w:val="20"/>
        </w:rPr>
      </w:pPr>
      <w:r>
        <w:rPr>
          <w:i/>
          <w:iCs/>
          <w:color w:val="000000"/>
          <w:sz w:val="20"/>
          <w:szCs w:val="20"/>
        </w:rPr>
        <w:t>Grant Process</w:t>
      </w:r>
    </w:p>
    <w:p w:rsidR="00000000" w:rsidRDefault="00827839">
      <w:pPr>
        <w:pStyle w:val="a3"/>
        <w:spacing w:before="120" w:beforeAutospacing="0" w:after="0" w:afterAutospacing="0"/>
        <w:ind w:firstLine="556"/>
        <w:jc w:val="both"/>
        <w:rPr>
          <w:sz w:val="20"/>
          <w:szCs w:val="20"/>
        </w:rPr>
      </w:pPr>
      <w:r>
        <w:rPr>
          <w:sz w:val="20"/>
          <w:szCs w:val="20"/>
        </w:rPr>
        <w:t>All restricted unit awards are approved by the Committee.  Because individual circ</w:t>
      </w:r>
      <w:r>
        <w:rPr>
          <w:sz w:val="20"/>
          <w:szCs w:val="20"/>
        </w:rPr>
        <w:t>umstances differ, the Committee has not adopted a formulaic approach to making restricted unit awards.  Although the reasons for granting an award can vary, the general objective of granting an award to a recipient is to retain the services of the recipien</w:t>
      </w:r>
      <w:r>
        <w:rPr>
          <w:sz w:val="20"/>
          <w:szCs w:val="20"/>
        </w:rPr>
        <w:t>t over the vesting period while, at the same time, providing the type of motivation that further aligns the long-term interests of the recipient with the long-term interests of our Unitholders.  The reasons for which the Committee grants restricted unit aw</w:t>
      </w:r>
      <w:r>
        <w:rPr>
          <w:sz w:val="20"/>
          <w:szCs w:val="20"/>
        </w:rPr>
        <w:t>ards include, but are not limited to, the following:</w:t>
      </w:r>
    </w:p>
    <w:p w:rsidR="00000000" w:rsidRDefault="00827839">
      <w:pPr>
        <w:pStyle w:val="a3"/>
        <w:spacing w:before="0" w:beforeAutospacing="0" w:after="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067147502"/>
        </w:trPr>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0" w:afterAutospacing="0"/>
              <w:jc w:val="both"/>
              <w:rPr>
                <w:color w:val="000000"/>
                <w:sz w:val="20"/>
                <w:szCs w:val="20"/>
              </w:rPr>
            </w:pPr>
            <w:r>
              <w:rPr>
                <w:color w:val="000000"/>
                <w:sz w:val="20"/>
                <w:szCs w:val="20"/>
              </w:rPr>
              <w:t>To attract skilled and capable candidates to fill vacant positions;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To retain the services of an employee;</w:t>
            </w:r>
          </w:p>
        </w:tc>
      </w:tr>
    </w:tbl>
    <w:p w:rsidR="00000000" w:rsidRDefault="00827839">
      <w:pPr>
        <w:divId w:val="163718340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637183407"/>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To provide an adequate compensation package to accompany an internal promotion;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 xml:space="preserve">To reward outstanding performance. </w:t>
            </w:r>
          </w:p>
        </w:tc>
      </w:tr>
    </w:tbl>
    <w:p w:rsidR="00000000" w:rsidRDefault="00827839">
      <w:pPr>
        <w:pStyle w:val="a3"/>
        <w:spacing w:before="240" w:beforeAutospacing="0" w:after="0" w:afterAutospacing="0"/>
        <w:ind w:firstLine="556"/>
        <w:jc w:val="both"/>
        <w:rPr>
          <w:sz w:val="20"/>
          <w:szCs w:val="20"/>
        </w:rPr>
      </w:pPr>
      <w:r>
        <w:rPr>
          <w:sz w:val="20"/>
          <w:szCs w:val="20"/>
        </w:rPr>
        <w:t>In determining the quantity of restricted units to grant to named executive officers and other key employees, the Committee consi</w:t>
      </w:r>
      <w:r>
        <w:rPr>
          <w:sz w:val="20"/>
          <w:szCs w:val="20"/>
        </w:rPr>
        <w:t>ders, without limitation:</w:t>
      </w:r>
    </w:p>
    <w:p w:rsidR="00000000" w:rsidRDefault="00827839">
      <w:pPr>
        <w:pStyle w:val="a3"/>
        <w:spacing w:before="0" w:beforeAutospacing="0" w:after="0" w:afterAutospacing="0"/>
        <w:ind w:firstLine="81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17909858"/>
        </w:trPr>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0" w:afterAutospacing="0"/>
              <w:jc w:val="both"/>
              <w:rPr>
                <w:color w:val="000000"/>
                <w:sz w:val="20"/>
                <w:szCs w:val="20"/>
              </w:rPr>
            </w:pPr>
            <w:r>
              <w:rPr>
                <w:color w:val="000000"/>
                <w:sz w:val="20"/>
                <w:szCs w:val="20"/>
              </w:rPr>
              <w:t>The named executive officer’s or key employee’s scope of responsibility, performance and contribution to meeting our objectives;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The total cash compensation opportunity provided to the named executive officer or key employee for whom the award is being considered;</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62</w:t>
      </w:r>
    </w:p>
    <w:p w:rsidR="00000000" w:rsidRDefault="00827839">
      <w:pPr>
        <w:rPr>
          <w:rFonts w:eastAsia="Times New Roman"/>
        </w:rPr>
      </w:pPr>
      <w:r>
        <w:rPr>
          <w:rFonts w:eastAsia="Times New Roman"/>
        </w:rPr>
        <w:pict>
          <v:rect id="_x0000_i108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68831780"/>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The value of s</w:t>
            </w:r>
            <w:r>
              <w:rPr>
                <w:color w:val="000000"/>
                <w:sz w:val="20"/>
                <w:szCs w:val="20"/>
              </w:rPr>
              <w:t>imilar equity awards to named executive officers of similarly sized companies;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The current value of an equivalent quantity of outstanding Common Units.</w:t>
            </w:r>
          </w:p>
        </w:tc>
      </w:tr>
    </w:tbl>
    <w:p w:rsidR="00000000" w:rsidRDefault="00827839">
      <w:pPr>
        <w:pStyle w:val="a3"/>
        <w:spacing w:before="240" w:beforeAutospacing="0" w:after="0" w:afterAutospacing="0"/>
        <w:ind w:firstLine="556"/>
        <w:jc w:val="both"/>
        <w:rPr>
          <w:sz w:val="20"/>
          <w:szCs w:val="20"/>
        </w:rPr>
      </w:pPr>
      <w:r>
        <w:rPr>
          <w:sz w:val="20"/>
          <w:szCs w:val="20"/>
        </w:rPr>
        <w:t>In addition, in establishing the level of restricted units to grant to our named executive officers, the Committee considers the existing level of outstanding unvested restricted unit awards held by our named executive officers.  </w:t>
      </w:r>
    </w:p>
    <w:p w:rsidR="00000000" w:rsidRDefault="00827839">
      <w:pPr>
        <w:pStyle w:val="a3"/>
        <w:spacing w:before="240" w:beforeAutospacing="0" w:after="0" w:afterAutospacing="0"/>
        <w:ind w:firstLine="556"/>
        <w:jc w:val="both"/>
        <w:rPr>
          <w:sz w:val="20"/>
          <w:szCs w:val="20"/>
        </w:rPr>
      </w:pPr>
      <w:r>
        <w:rPr>
          <w:sz w:val="20"/>
          <w:szCs w:val="20"/>
        </w:rPr>
        <w:t>The Committee generally approves awards under our Restricted Unit Plans at its first meeting each fiscal year following the availability of the financial results for the prior fiscal year; however, occasionally the Committee grants awards at other times of</w:t>
      </w:r>
      <w:r>
        <w:rPr>
          <w:sz w:val="20"/>
          <w:szCs w:val="20"/>
        </w:rPr>
        <w:t xml:space="preserve"> the year, particularly when the need arises to grant awards because of promotions and new hires.  </w:t>
      </w:r>
    </w:p>
    <w:p w:rsidR="00000000" w:rsidRDefault="00827839">
      <w:pPr>
        <w:pStyle w:val="a3"/>
        <w:spacing w:before="240" w:beforeAutospacing="0" w:after="0" w:afterAutospacing="0"/>
        <w:ind w:firstLine="556"/>
        <w:jc w:val="both"/>
        <w:rPr>
          <w:sz w:val="20"/>
          <w:szCs w:val="20"/>
        </w:rPr>
      </w:pPr>
      <w:r>
        <w:rPr>
          <w:sz w:val="20"/>
          <w:szCs w:val="20"/>
        </w:rPr>
        <w:t>Upon vesting, restricted units are automatically converted into our Common Units, with full voting rights and rights to receive distributions.  </w:t>
      </w:r>
    </w:p>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160" w:beforeAutospacing="0" w:after="0" w:afterAutospacing="0"/>
        <w:rPr>
          <w:i/>
          <w:iCs/>
          <w:color w:val="000000"/>
          <w:sz w:val="20"/>
          <w:szCs w:val="20"/>
        </w:rPr>
      </w:pPr>
      <w:r>
        <w:rPr>
          <w:i/>
          <w:iCs/>
          <w:color w:val="000000"/>
          <w:sz w:val="20"/>
          <w:szCs w:val="20"/>
        </w:rPr>
        <w:t>Vesting S</w:t>
      </w:r>
      <w:r>
        <w:rPr>
          <w:i/>
          <w:iCs/>
          <w:color w:val="000000"/>
          <w:sz w:val="20"/>
          <w:szCs w:val="20"/>
        </w:rPr>
        <w:t>chedule</w:t>
      </w:r>
    </w:p>
    <w:p w:rsidR="00000000" w:rsidRDefault="00827839">
      <w:pPr>
        <w:pStyle w:val="a3"/>
        <w:spacing w:before="120" w:beforeAutospacing="0" w:after="0" w:afterAutospacing="0"/>
        <w:ind w:firstLine="556"/>
        <w:jc w:val="both"/>
        <w:rPr>
          <w:sz w:val="20"/>
          <w:szCs w:val="20"/>
        </w:rPr>
      </w:pPr>
      <w:r>
        <w:rPr>
          <w:sz w:val="20"/>
          <w:szCs w:val="20"/>
        </w:rPr>
        <w:t xml:space="preserve">RUP awards granted prior to August 6, 2013 vested as follows:  25% on each of the third and fourth anniversaries of the grant date and the remaining 50% on the fifth anniversary of the grant date.  The last of the awards granted prior to August 6, </w:t>
      </w:r>
      <w:r>
        <w:rPr>
          <w:sz w:val="20"/>
          <w:szCs w:val="20"/>
        </w:rPr>
        <w:t xml:space="preserve">2013 vested during fiscal 2018. </w:t>
      </w:r>
    </w:p>
    <w:p w:rsidR="00000000" w:rsidRDefault="00827839">
      <w:pPr>
        <w:pStyle w:val="a3"/>
        <w:spacing w:before="240" w:beforeAutospacing="0" w:after="0" w:afterAutospacing="0"/>
        <w:ind w:firstLine="556"/>
        <w:jc w:val="both"/>
        <w:rPr>
          <w:sz w:val="20"/>
          <w:szCs w:val="20"/>
        </w:rPr>
      </w:pPr>
      <w:r>
        <w:rPr>
          <w:sz w:val="20"/>
          <w:szCs w:val="20"/>
        </w:rPr>
        <w:t>At its August 6, 2013 meeting, after its review of recommendations made by WTW, and in order to make its vesting schedule comparable to those of similar plans offered by other companies, the Committee amended the RUP to rev</w:t>
      </w:r>
      <w:r>
        <w:rPr>
          <w:sz w:val="20"/>
          <w:szCs w:val="20"/>
        </w:rPr>
        <w:t>ise the standard vesting schedule of awards granted thereafter to one third on each of the first three anniversaries of the award grant date.  This is the standard vesting schedule incorporated into the RUP-2.  The Committee retains the ability to deviate,</w:t>
      </w:r>
      <w:r>
        <w:rPr>
          <w:sz w:val="20"/>
          <w:szCs w:val="20"/>
        </w:rPr>
        <w:t xml:space="preserve"> at its discretion, from the normal vesting schedule with respect to particular restricted unit awards, subject to the limitations set forth in the RUP-2, and described above, with respect to restricted units awarded under that plan.  Unvested awards are s</w:t>
      </w:r>
      <w:r>
        <w:rPr>
          <w:sz w:val="20"/>
          <w:szCs w:val="20"/>
        </w:rPr>
        <w:t xml:space="preserve">ubject to forfeiture in certain circumstances, as defined in the Restricted Unit Plans. </w:t>
      </w:r>
    </w:p>
    <w:p w:rsidR="00000000" w:rsidRDefault="00827839">
      <w:pPr>
        <w:pStyle w:val="a3"/>
        <w:spacing w:before="160" w:beforeAutospacing="0" w:after="0" w:afterAutospacing="0"/>
        <w:rPr>
          <w:sz w:val="20"/>
          <w:szCs w:val="20"/>
        </w:rPr>
      </w:pPr>
      <w:r>
        <w:rPr>
          <w:sz w:val="20"/>
          <w:szCs w:val="20"/>
        </w:rPr>
        <w:t> </w:t>
      </w:r>
    </w:p>
    <w:p w:rsidR="00000000" w:rsidRDefault="00827839">
      <w:pPr>
        <w:pStyle w:val="a3"/>
        <w:spacing w:before="0" w:beforeAutospacing="0" w:after="0" w:afterAutospacing="0"/>
        <w:rPr>
          <w:i/>
          <w:iCs/>
          <w:color w:val="000000"/>
          <w:sz w:val="20"/>
          <w:szCs w:val="20"/>
        </w:rPr>
      </w:pPr>
      <w:r>
        <w:rPr>
          <w:i/>
          <w:iCs/>
          <w:color w:val="000000"/>
          <w:sz w:val="20"/>
          <w:szCs w:val="20"/>
        </w:rPr>
        <w:t>Outstanding Awards under the RUP</w:t>
      </w:r>
    </w:p>
    <w:p w:rsidR="00000000" w:rsidRDefault="00827839">
      <w:pPr>
        <w:pStyle w:val="a3"/>
        <w:spacing w:before="120" w:beforeAutospacing="0" w:after="0" w:afterAutospacing="0"/>
        <w:ind w:firstLine="556"/>
        <w:jc w:val="both"/>
        <w:rPr>
          <w:sz w:val="20"/>
          <w:szCs w:val="20"/>
        </w:rPr>
      </w:pPr>
      <w:r>
        <w:rPr>
          <w:sz w:val="20"/>
          <w:szCs w:val="20"/>
        </w:rPr>
        <w:t xml:space="preserve">At its November 13, 2018 meeting, in order to continue to further align the interests of our named executive officers with those of </w:t>
      </w:r>
      <w:r>
        <w:rPr>
          <w:sz w:val="20"/>
          <w:szCs w:val="20"/>
        </w:rPr>
        <w:t>our Unitholders, the Committee approved a grant of restricted units to each of our named executive officers.  In determining these fiscal 2019 awards for our named executive officers, the Committee relied upon information provided by the Mercer benchmarkin</w:t>
      </w:r>
      <w:r>
        <w:rPr>
          <w:sz w:val="20"/>
          <w:szCs w:val="20"/>
        </w:rPr>
        <w:t>g database and recommendations by WTW to conclude that these awards were necessary to remediate shortfalls perceived by the Committee in the cash compensation opportunities provided by the Partnership to these executives, as well as in recognition of their</w:t>
      </w:r>
      <w:r>
        <w:rPr>
          <w:sz w:val="20"/>
          <w:szCs w:val="20"/>
        </w:rPr>
        <w:t xml:space="preserve"> individual achievements throughout fiscal 2018.  The Committee uses restricted unit awards to satisfy a perceived need to balance cash compensation with equity (or non-cash) compensation, and to encourage our named executive officers, and other key employ</w:t>
      </w:r>
      <w:r>
        <w:rPr>
          <w:sz w:val="20"/>
          <w:szCs w:val="20"/>
        </w:rPr>
        <w:t>ees, to have an equity stake in the Partnership, thereby further aligning the economic interests of our named executive officers with the economic interests of our Unitholders.</w:t>
      </w:r>
    </w:p>
    <w:p w:rsidR="00000000" w:rsidRDefault="00827839">
      <w:pPr>
        <w:pStyle w:val="a3"/>
        <w:spacing w:before="240" w:beforeAutospacing="0" w:after="0" w:afterAutospacing="0"/>
        <w:ind w:firstLine="556"/>
        <w:jc w:val="both"/>
        <w:rPr>
          <w:sz w:val="20"/>
          <w:szCs w:val="20"/>
        </w:rPr>
      </w:pPr>
      <w:r>
        <w:rPr>
          <w:sz w:val="20"/>
          <w:szCs w:val="20"/>
        </w:rPr>
        <w:t>The following table summarizes the RUP awards granted to our named executive of</w:t>
      </w:r>
      <w:r>
        <w:rPr>
          <w:sz w:val="20"/>
          <w:szCs w:val="20"/>
        </w:rPr>
        <w:t>ficers at the Committee’s November 13, 2018 meeting:</w:t>
      </w:r>
    </w:p>
    <w:p w:rsidR="00000000" w:rsidRDefault="00827839">
      <w:pPr>
        <w:pStyle w:val="a3"/>
        <w:spacing w:before="0" w:beforeAutospacing="0" w:after="0" w:afterAutospacing="0"/>
        <w:ind w:firstLine="556"/>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533"/>
        <w:gridCol w:w="115"/>
        <w:gridCol w:w="1441"/>
        <w:gridCol w:w="116"/>
        <w:gridCol w:w="66"/>
        <w:gridCol w:w="1308"/>
        <w:gridCol w:w="66"/>
      </w:tblGrid>
      <w:tr w:rsidR="00000000">
        <w:trPr>
          <w:divId w:val="959722015"/>
        </w:trPr>
        <w:tc>
          <w:tcPr>
            <w:tcW w:w="2657"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08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Grant Date</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0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Quantity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959722015"/>
        </w:trPr>
        <w:tc>
          <w:tcPr>
            <w:tcW w:w="2657"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47,793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9722015"/>
        </w:trPr>
        <w:tc>
          <w:tcPr>
            <w:tcW w:w="26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28,242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9722015"/>
        </w:trPr>
        <w:tc>
          <w:tcPr>
            <w:tcW w:w="26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28,242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9722015"/>
        </w:trPr>
        <w:tc>
          <w:tcPr>
            <w:tcW w:w="26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27,156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9722015"/>
        </w:trPr>
        <w:tc>
          <w:tcPr>
            <w:tcW w:w="26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32,587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The aggregate grant date fair values of RUP awards made during fiscal 2019, fiscal 2018 and fiscal 2017, computed in accordance with accounting principles generally accepted in the United States of America, are reported in the column titled “Unit Awards” i</w:t>
      </w:r>
      <w:r>
        <w:rPr>
          <w:sz w:val="20"/>
          <w:szCs w:val="20"/>
        </w:rPr>
        <w:t xml:space="preserve">n the Summary Compensation Table below. </w:t>
      </w:r>
    </w:p>
    <w:p w:rsidR="00000000" w:rsidRDefault="00827839">
      <w:pPr>
        <w:pStyle w:val="a3"/>
        <w:spacing w:before="160" w:beforeAutospacing="0" w:after="0" w:afterAutospacing="0"/>
        <w:jc w:val="both"/>
        <w:rPr>
          <w:sz w:val="20"/>
          <w:szCs w:val="20"/>
        </w:rPr>
      </w:pPr>
      <w:r>
        <w:rPr>
          <w:sz w:val="20"/>
          <w:szCs w:val="20"/>
        </w:rPr>
        <w:t> </w:t>
      </w:r>
    </w:p>
    <w:p w:rsidR="00000000" w:rsidRDefault="00827839">
      <w:pPr>
        <w:pStyle w:val="a3"/>
        <w:spacing w:before="0" w:beforeAutospacing="0" w:after="0" w:afterAutospacing="0"/>
        <w:rPr>
          <w:i/>
          <w:iCs/>
          <w:color w:val="000000"/>
          <w:sz w:val="20"/>
          <w:szCs w:val="20"/>
        </w:rPr>
      </w:pPr>
      <w:r>
        <w:rPr>
          <w:i/>
          <w:iCs/>
          <w:color w:val="000000"/>
          <w:sz w:val="20"/>
          <w:szCs w:val="20"/>
        </w:rPr>
        <w:t>Retirement Provisions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63</w:t>
      </w:r>
    </w:p>
    <w:p w:rsidR="00000000" w:rsidRDefault="00827839">
      <w:pPr>
        <w:rPr>
          <w:rFonts w:eastAsia="Times New Roman"/>
        </w:rPr>
      </w:pPr>
      <w:r>
        <w:rPr>
          <w:rFonts w:eastAsia="Times New Roman"/>
        </w:rPr>
        <w:pict>
          <v:rect id="_x0000_i109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20" w:beforeAutospacing="0" w:after="0" w:afterAutospacing="0"/>
        <w:ind w:firstLine="556"/>
        <w:jc w:val="both"/>
        <w:rPr>
          <w:sz w:val="20"/>
          <w:szCs w:val="20"/>
        </w:rPr>
      </w:pPr>
      <w:r>
        <w:rPr>
          <w:sz w:val="20"/>
          <w:szCs w:val="20"/>
        </w:rPr>
        <w:t>The RUP and the RUP-2 contain retirement provisions that provide for the issuance of Common Units (six months and one day after the retirement date of qualifyin</w:t>
      </w:r>
      <w:r>
        <w:rPr>
          <w:sz w:val="20"/>
          <w:szCs w:val="20"/>
        </w:rPr>
        <w:t>g participants) relating to unvested awards held by a retiring participant who meets all three of the following conditions on his or her retirement date:</w:t>
      </w:r>
    </w:p>
    <w:p w:rsidR="00000000" w:rsidRDefault="00827839">
      <w:pPr>
        <w:pStyle w:val="a3"/>
        <w:spacing w:before="0" w:beforeAutospacing="0" w:after="0" w:afterAutospacing="0"/>
        <w:ind w:firstLine="457"/>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96748563"/>
        </w:trPr>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0" w:beforeAutospacing="0" w:after="0" w:afterAutospacing="0"/>
              <w:jc w:val="both"/>
              <w:rPr>
                <w:color w:val="000000"/>
                <w:sz w:val="20"/>
                <w:szCs w:val="20"/>
              </w:rPr>
            </w:pPr>
            <w:r>
              <w:rPr>
                <w:color w:val="000000"/>
                <w:sz w:val="20"/>
                <w:szCs w:val="20"/>
              </w:rPr>
              <w:t>The unvested award has been held by the grantee for at least six months under the RUP and at lea</w:t>
            </w:r>
            <w:r>
              <w:rPr>
                <w:color w:val="000000"/>
                <w:sz w:val="20"/>
                <w:szCs w:val="20"/>
              </w:rPr>
              <w:t>st one year under the RUP-2;</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The grantee is age 55 or older; and</w:t>
            </w:r>
          </w:p>
        </w:tc>
      </w:tr>
    </w:tbl>
    <w:p w:rsidR="00000000" w:rsidRDefault="00827839">
      <w:pPr>
        <w:divId w:val="35207092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352070926"/>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The grantee has worked for us, or one of our predecessors, for at least 10 years.</w:t>
            </w:r>
          </w:p>
        </w:tc>
      </w:tr>
    </w:tbl>
    <w:p w:rsidR="00000000" w:rsidRDefault="00827839">
      <w:pPr>
        <w:pStyle w:val="a3"/>
        <w:spacing w:before="240" w:beforeAutospacing="0" w:after="0" w:afterAutospacing="0"/>
        <w:ind w:firstLine="556"/>
        <w:jc w:val="both"/>
        <w:rPr>
          <w:sz w:val="20"/>
          <w:szCs w:val="20"/>
        </w:rPr>
      </w:pPr>
      <w:r>
        <w:rPr>
          <w:sz w:val="20"/>
          <w:szCs w:val="20"/>
        </w:rPr>
        <w:t>Mr. Boyd, Mr. Brinkworth and Mr. Abel are our only named executive officers to whom this retirement provision applied at the end of fiscal 2019.  Because at that time, all of the unvested awards to Mr. Abel and Mr. Brinkworth had been made under the RUP, a</w:t>
      </w:r>
      <w:r>
        <w:rPr>
          <w:sz w:val="20"/>
          <w:szCs w:val="20"/>
        </w:rPr>
        <w:t>ll of their unvested awards were subject to the retirement provisions of that plan at the conclusion of fiscal 2019.  </w:t>
      </w:r>
    </w:p>
    <w:p w:rsidR="00000000" w:rsidRDefault="00827839">
      <w:pPr>
        <w:pStyle w:val="a3"/>
        <w:spacing w:before="0" w:beforeAutospacing="0" w:after="0" w:afterAutospacing="0"/>
        <w:jc w:val="center"/>
        <w:rPr>
          <w:color w:val="000000"/>
          <w:sz w:val="20"/>
          <w:szCs w:val="20"/>
        </w:rPr>
      </w:pPr>
      <w:r>
        <w:rPr>
          <w:color w:val="000000"/>
          <w:sz w:val="20"/>
          <w:szCs w:val="20"/>
        </w:rPr>
        <w:t>***</w:t>
      </w:r>
    </w:p>
    <w:p w:rsidR="00000000" w:rsidRDefault="00827839">
      <w:pPr>
        <w:pStyle w:val="a3"/>
        <w:spacing w:before="240" w:beforeAutospacing="0" w:after="0" w:afterAutospacing="0"/>
        <w:ind w:firstLine="556"/>
        <w:jc w:val="both"/>
        <w:rPr>
          <w:sz w:val="20"/>
          <w:szCs w:val="20"/>
        </w:rPr>
      </w:pPr>
      <w:r>
        <w:rPr>
          <w:sz w:val="20"/>
          <w:szCs w:val="20"/>
        </w:rPr>
        <w:t>At its November 12, 2019 meeting, the Committee granted the following RUP-2 awards to our named executive officers:</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533"/>
        <w:gridCol w:w="115"/>
        <w:gridCol w:w="1441"/>
        <w:gridCol w:w="116"/>
        <w:gridCol w:w="66"/>
        <w:gridCol w:w="1308"/>
        <w:gridCol w:w="66"/>
      </w:tblGrid>
      <w:tr w:rsidR="00000000">
        <w:trPr>
          <w:divId w:val="204606360"/>
        </w:trPr>
        <w:tc>
          <w:tcPr>
            <w:tcW w:w="2657"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08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Grant D</w:t>
            </w:r>
            <w:r>
              <w:rPr>
                <w:b/>
                <w:bCs/>
                <w:color w:val="000000"/>
                <w:sz w:val="16"/>
                <w:szCs w:val="16"/>
              </w:rPr>
              <w:t>ate</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0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Quantity</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4606360"/>
        </w:trPr>
        <w:tc>
          <w:tcPr>
            <w:tcW w:w="2657"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2019</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50,419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4606360"/>
        </w:trPr>
        <w:tc>
          <w:tcPr>
            <w:tcW w:w="26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2019</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31,512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4606360"/>
        </w:trPr>
        <w:tc>
          <w:tcPr>
            <w:tcW w:w="26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2019</w:t>
            </w:r>
          </w:p>
        </w:tc>
        <w:tc>
          <w:tcPr>
            <w:tcW w:w="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31,512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4606360"/>
        </w:trPr>
        <w:tc>
          <w:tcPr>
            <w:tcW w:w="26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8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2019</w:t>
            </w:r>
          </w:p>
        </w:tc>
        <w:tc>
          <w:tcPr>
            <w:tcW w:w="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8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29,411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pPr>
      <w:r>
        <w:t> </w:t>
      </w:r>
    </w:p>
    <w:p w:rsidR="00000000" w:rsidRDefault="00827839">
      <w:pPr>
        <w:pStyle w:val="a3"/>
        <w:spacing w:before="0" w:beforeAutospacing="0" w:after="0" w:afterAutospacing="0"/>
        <w:jc w:val="both"/>
        <w:rPr>
          <w:color w:val="000000"/>
          <w:sz w:val="20"/>
          <w:szCs w:val="20"/>
        </w:rPr>
      </w:pPr>
      <w:r>
        <w:rPr>
          <w:color w:val="000000"/>
          <w:sz w:val="20"/>
          <w:szCs w:val="20"/>
        </w:rPr>
        <w:t>*  </w:t>
      </w:r>
      <w:r>
        <w:rPr>
          <w:color w:val="000000"/>
          <w:sz w:val="20"/>
          <w:szCs w:val="20"/>
        </w:rPr>
        <w:t>Mr. Abel retired as of October 1, 2019.</w:t>
      </w:r>
    </w:p>
    <w:p w:rsidR="00000000" w:rsidRDefault="00827839">
      <w:pPr>
        <w:pStyle w:val="a3"/>
        <w:spacing w:before="360" w:beforeAutospacing="0" w:after="0" w:afterAutospacing="0"/>
        <w:jc w:val="both"/>
        <w:rPr>
          <w:b/>
          <w:bCs/>
          <w:color w:val="000000"/>
          <w:sz w:val="20"/>
          <w:szCs w:val="20"/>
        </w:rPr>
      </w:pPr>
      <w:r>
        <w:rPr>
          <w:b/>
          <w:bCs/>
          <w:color w:val="000000"/>
          <w:sz w:val="20"/>
          <w:szCs w:val="20"/>
        </w:rPr>
        <w:t>Distribution Equivalent Rights Plan</w:t>
      </w:r>
    </w:p>
    <w:p w:rsidR="00000000" w:rsidRDefault="00827839">
      <w:pPr>
        <w:pStyle w:val="a3"/>
        <w:spacing w:before="120" w:beforeAutospacing="0" w:after="0" w:afterAutospacing="0"/>
        <w:ind w:firstLine="556"/>
        <w:jc w:val="both"/>
        <w:rPr>
          <w:sz w:val="20"/>
          <w:szCs w:val="20"/>
        </w:rPr>
      </w:pPr>
      <w:r>
        <w:rPr>
          <w:sz w:val="20"/>
          <w:szCs w:val="20"/>
        </w:rPr>
        <w:t>At the beginning of fiscal 2017, the Committee engaged the services of WTW to evaluate the merits of establishing a Distribution Equivalent Rights Plan (the “DER Plan”) as a new co</w:t>
      </w:r>
      <w:r>
        <w:rPr>
          <w:sz w:val="20"/>
          <w:szCs w:val="20"/>
        </w:rPr>
        <w:t>mponent of executive compensation.  The data provided by WTW suggested that the proposed DER Plan would be aligned with industry norms (77% of other publicly traded partnerships and 92% of a sample of broader energy/utility companies, at that time, provide</w:t>
      </w:r>
      <w:r>
        <w:rPr>
          <w:sz w:val="20"/>
          <w:szCs w:val="20"/>
        </w:rPr>
        <w:t>d such plans to their executives in one form or another).  The Committee adopted the DER Plan on January 17, 2017 because the cash compensation resulting from the DER Plan would help, in certain instances, to lessen the gap between the total compensation p</w:t>
      </w:r>
      <w:r>
        <w:rPr>
          <w:sz w:val="20"/>
          <w:szCs w:val="20"/>
        </w:rPr>
        <w:t>aid to some of our named executive officers and the benchmark compensation data.  Additionally, the Committee believes that the DER Plan will provide our named executive officers with a reasonable balance between performance-based and non-performance based</w:t>
      </w:r>
      <w:r>
        <w:rPr>
          <w:sz w:val="20"/>
          <w:szCs w:val="20"/>
        </w:rPr>
        <w:t xml:space="preserve"> cash opportunities and will assist our named executive officers to obtain funds to settle the taxes on equity based compensation (i.e., taxes generated when restricted units vest).  Most importantly, the Committee believes that this form of compensation f</w:t>
      </w:r>
      <w:r>
        <w:rPr>
          <w:sz w:val="20"/>
          <w:szCs w:val="20"/>
        </w:rPr>
        <w:t>urther aligns the interests of our named executive officers with the interests of our Unitholders because it provides an incentive for the types of behaviors that lead to distribution sustainability and growth.  </w:t>
      </w:r>
    </w:p>
    <w:p w:rsidR="00000000" w:rsidRDefault="00827839">
      <w:pPr>
        <w:pStyle w:val="a3"/>
        <w:spacing w:before="240" w:beforeAutospacing="0" w:after="0" w:afterAutospacing="0"/>
        <w:ind w:firstLine="556"/>
        <w:jc w:val="both"/>
        <w:rPr>
          <w:sz w:val="20"/>
          <w:szCs w:val="20"/>
        </w:rPr>
      </w:pPr>
      <w:r>
        <w:rPr>
          <w:sz w:val="20"/>
          <w:szCs w:val="20"/>
        </w:rPr>
        <w:t>The named executive officers of the Partner</w:t>
      </w:r>
      <w:r>
        <w:rPr>
          <w:sz w:val="20"/>
          <w:szCs w:val="20"/>
        </w:rPr>
        <w:t xml:space="preserve">ship (as defined in the DER Plan) are eligible for a distribution equivalent right (“DER”) award under the DER Plan at the discretion of the Committee.  Once awarded, a DER entitles the grantee to a cash payment each time our Board of Supervisors declares </w:t>
      </w:r>
      <w:r>
        <w:rPr>
          <w:sz w:val="20"/>
          <w:szCs w:val="20"/>
        </w:rPr>
        <w:t>a cash distribution on our Common Units, but only after such distribution is paid to the Unitholders, which cash payment is equal to the amount calculated by multiplying (A) the number of unvested restricted units that have been previously awarded to the g</w:t>
      </w:r>
      <w:r>
        <w:rPr>
          <w:sz w:val="20"/>
          <w:szCs w:val="20"/>
        </w:rPr>
        <w:t>rantee under any of our RUPs and which are held by the grantee on the record date of the distribution, by (B) the amount of the declared distribution per Common Unit. The form of award agreement under the DER Plan expressly provides that the Committee reta</w:t>
      </w:r>
      <w:r>
        <w:rPr>
          <w:sz w:val="20"/>
          <w:szCs w:val="20"/>
        </w:rPr>
        <w:t>ins the right to cancel, in whole or in part, any DER after its award, with or without cause.  DERs also automatically terminate on the first to occur of: (a) the termination of the grantee’s employment with us or our subsidiary (except for those situation</w:t>
      </w:r>
      <w:r>
        <w:rPr>
          <w:sz w:val="20"/>
          <w:szCs w:val="20"/>
        </w:rPr>
        <w:t>s when such termination does not result in the forfeiture of the unvested restricted units then held by the grantee), (b) the vesting, termination or forfeiture of all unvested restricted units then held by the grantee, or (c) the grantee becoming employed</w:t>
      </w:r>
      <w:r>
        <w:rPr>
          <w:sz w:val="20"/>
          <w:szCs w:val="20"/>
        </w:rPr>
        <w:t xml:space="preserve"> by us or our subsidiary in a role other than as a named executive officer. Pursuant to the terms of the DER Plan, DERs, and cash payments thereunder, are considered to be “incentive compensation” for purposes of our incentive compensation recoupment polic</w:t>
      </w:r>
      <w:r>
        <w:rPr>
          <w:sz w:val="20"/>
          <w:szCs w:val="20"/>
        </w:rPr>
        <w:t>y described above.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64</w:t>
      </w:r>
    </w:p>
    <w:p w:rsidR="00000000" w:rsidRDefault="00827839">
      <w:pPr>
        <w:rPr>
          <w:rFonts w:eastAsia="Times New Roman"/>
        </w:rPr>
      </w:pPr>
      <w:r>
        <w:rPr>
          <w:rFonts w:eastAsia="Times New Roman"/>
        </w:rPr>
        <w:pict>
          <v:rect id="_x0000_i109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At its January 17, 2017 meeting, the Committee granted DERs under the DER Plan to all of our named executive officers.  The following table summarizes the DER p</w:t>
      </w:r>
      <w:r>
        <w:rPr>
          <w:sz w:val="20"/>
          <w:szCs w:val="20"/>
        </w:rPr>
        <w:t>ayments made to our named executive officers during fiscal 2019:</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931"/>
        <w:gridCol w:w="150"/>
        <w:gridCol w:w="115"/>
        <w:gridCol w:w="1384"/>
        <w:gridCol w:w="65"/>
      </w:tblGrid>
      <w:tr w:rsidR="00000000">
        <w:trPr>
          <w:divId w:val="1421609442"/>
        </w:trPr>
        <w:tc>
          <w:tcPr>
            <w:tcW w:w="372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0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Payment Amount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21609442"/>
        </w:trPr>
        <w:tc>
          <w:tcPr>
            <w:tcW w:w="3721"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3"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191,322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1609442"/>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3"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119,765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1609442"/>
        </w:trPr>
        <w:tc>
          <w:tcPr>
            <w:tcW w:w="37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3"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115,621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1609442"/>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3"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111,923</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1609442"/>
        </w:trPr>
        <w:tc>
          <w:tcPr>
            <w:tcW w:w="37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3"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118,208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 xml:space="preserve">The DER Plan payments made to our named executive officers during fiscal 2019 are reported in the column titled “Non-Equity Incentive Plan Compensation” in the Summary Compensation Table below. </w:t>
      </w:r>
    </w:p>
    <w:p w:rsidR="00000000" w:rsidRDefault="00827839">
      <w:pPr>
        <w:pStyle w:val="a3"/>
        <w:spacing w:before="360" w:beforeAutospacing="0" w:after="0" w:afterAutospacing="0"/>
        <w:jc w:val="both"/>
        <w:rPr>
          <w:b/>
          <w:bCs/>
          <w:color w:val="000000"/>
          <w:sz w:val="20"/>
          <w:szCs w:val="20"/>
        </w:rPr>
      </w:pPr>
      <w:r>
        <w:rPr>
          <w:b/>
          <w:bCs/>
          <w:color w:val="000000"/>
          <w:sz w:val="20"/>
          <w:szCs w:val="20"/>
        </w:rPr>
        <w:t xml:space="preserve">Benefits and Perquisites </w:t>
      </w:r>
    </w:p>
    <w:p w:rsidR="00000000" w:rsidRDefault="00827839">
      <w:pPr>
        <w:pStyle w:val="a3"/>
        <w:spacing w:before="120" w:beforeAutospacing="0" w:after="0" w:afterAutospacing="0"/>
        <w:rPr>
          <w:i/>
          <w:iCs/>
          <w:color w:val="000000"/>
          <w:sz w:val="20"/>
          <w:szCs w:val="20"/>
        </w:rPr>
      </w:pPr>
      <w:r>
        <w:rPr>
          <w:i/>
          <w:iCs/>
          <w:color w:val="000000"/>
          <w:sz w:val="20"/>
          <w:szCs w:val="20"/>
        </w:rPr>
        <w:t>Pension Plan</w:t>
      </w:r>
    </w:p>
    <w:p w:rsidR="00000000" w:rsidRDefault="00827839">
      <w:pPr>
        <w:pStyle w:val="a3"/>
        <w:spacing w:before="120" w:beforeAutospacing="0" w:after="0" w:afterAutospacing="0"/>
        <w:ind w:firstLine="556"/>
        <w:jc w:val="both"/>
        <w:rPr>
          <w:sz w:val="20"/>
          <w:szCs w:val="20"/>
        </w:rPr>
      </w:pPr>
      <w:r>
        <w:rPr>
          <w:sz w:val="20"/>
          <w:szCs w:val="20"/>
        </w:rPr>
        <w:t>We sponsor a noncontributory defined benefit pension plan that was originally designed to cover all of our eligible employees who met certain criteria relative to age and length of service.  Effective January 1, 1998, we amended the plan in order to provid</w:t>
      </w:r>
      <w:r>
        <w:rPr>
          <w:sz w:val="20"/>
          <w:szCs w:val="20"/>
        </w:rPr>
        <w:t>e for a cash balance format rather than the final average pay format that was in effect prior to January 1, 1998 (the “Cash Balance Plan”).  The cash balance format is designed to evenly spread the growth of a participant’s earned retirement benefit throug</w:t>
      </w:r>
      <w:r>
        <w:rPr>
          <w:sz w:val="20"/>
          <w:szCs w:val="20"/>
        </w:rPr>
        <w:t>hout his or her career rather than the final average pay format, under which a greater portion of a participant’s benefits were earned toward the latter stages of his or her career.  Effective January 1, 2000, we amended the Cash Balance Plan to limit part</w:t>
      </w:r>
      <w:r>
        <w:rPr>
          <w:sz w:val="20"/>
          <w:szCs w:val="20"/>
        </w:rPr>
        <w:t>icipation in this plan to existing participants and no longer admit new participants to the plan.  On January 1, 2003, we amended the Cash Balance Plan to cease future service and pay-based credits on behalf of the participants and, from that point on, par</w:t>
      </w:r>
      <w:r>
        <w:rPr>
          <w:sz w:val="20"/>
          <w:szCs w:val="20"/>
        </w:rPr>
        <w:t>ticipants’ benefits have increased only because of interest credits. Effective June 1, 2017, we amended the Cash Balance Plan to provide eligible terminated vested participants with a limited-time opportunity, which expired in August 2017, to elect immedia</w:t>
      </w:r>
      <w:r>
        <w:rPr>
          <w:sz w:val="20"/>
          <w:szCs w:val="20"/>
        </w:rPr>
        <w:t>te distribution of their benefits in the form of a single lump sum.  Of our named executive officers, only Mr. Boyd and Mr. Brinkworth participate in the Cash Balance Plan.  </w:t>
      </w:r>
    </w:p>
    <w:p w:rsidR="00000000" w:rsidRDefault="00827839">
      <w:pPr>
        <w:pStyle w:val="a3"/>
        <w:spacing w:before="240" w:beforeAutospacing="0" w:after="0" w:afterAutospacing="0"/>
        <w:ind w:firstLine="556"/>
        <w:jc w:val="both"/>
        <w:rPr>
          <w:sz w:val="20"/>
          <w:szCs w:val="20"/>
        </w:rPr>
      </w:pPr>
      <w:r>
        <w:rPr>
          <w:sz w:val="20"/>
          <w:szCs w:val="20"/>
        </w:rPr>
        <w:t>The changes in the actuarial value, if any, relative to Mr. Boyd’s and Mr. Brinkw</w:t>
      </w:r>
      <w:r>
        <w:rPr>
          <w:sz w:val="20"/>
          <w:szCs w:val="20"/>
        </w:rPr>
        <w:t>orth’s participation in the Cash Balance Plan during fiscal 2019, fiscal 2018 and fiscal 2017 are reported in the column titled “Change in Pension Value and Nonqualified Deferred Compensation Earnings” in the Summary Compensation Table below.</w:t>
      </w:r>
    </w:p>
    <w:p w:rsidR="00000000" w:rsidRDefault="00827839">
      <w:pPr>
        <w:pStyle w:val="a3"/>
        <w:spacing w:before="360" w:beforeAutospacing="0" w:after="0" w:afterAutospacing="0"/>
        <w:rPr>
          <w:i/>
          <w:iCs/>
          <w:color w:val="000000"/>
          <w:sz w:val="20"/>
          <w:szCs w:val="20"/>
        </w:rPr>
      </w:pPr>
      <w:r>
        <w:rPr>
          <w:i/>
          <w:iCs/>
          <w:color w:val="000000"/>
          <w:sz w:val="20"/>
          <w:szCs w:val="20"/>
        </w:rPr>
        <w:t>Deferred Comp</w:t>
      </w:r>
      <w:r>
        <w:rPr>
          <w:i/>
          <w:iCs/>
          <w:color w:val="000000"/>
          <w:sz w:val="20"/>
          <w:szCs w:val="20"/>
        </w:rPr>
        <w:t>ensation</w:t>
      </w:r>
    </w:p>
    <w:p w:rsidR="00000000" w:rsidRDefault="00827839">
      <w:pPr>
        <w:pStyle w:val="a3"/>
        <w:spacing w:before="120" w:beforeAutospacing="0" w:after="0" w:afterAutospacing="0"/>
        <w:ind w:firstLine="556"/>
        <w:jc w:val="both"/>
        <w:rPr>
          <w:sz w:val="20"/>
          <w:szCs w:val="20"/>
        </w:rPr>
      </w:pPr>
      <w:r>
        <w:rPr>
          <w:sz w:val="20"/>
          <w:szCs w:val="20"/>
        </w:rPr>
        <w:t>All employees, including our named executive officers, who satisfy certain service requirements, are eligible to participate in our IRC Section 401(k) Plan, which we refer to as the “401(k) Plan,” in which participants may defer a portion of their</w:t>
      </w:r>
      <w:r>
        <w:rPr>
          <w:sz w:val="20"/>
          <w:szCs w:val="20"/>
        </w:rPr>
        <w:t xml:space="preserve"> eligible cash compensation up to the limits established by law.  We offer the 401(k) Plan to attract and retain talented employees by providing them with a tax-advantaged opportunity to save for retirement.  </w:t>
      </w:r>
    </w:p>
    <w:p w:rsidR="00000000" w:rsidRDefault="00827839">
      <w:pPr>
        <w:pStyle w:val="a3"/>
        <w:spacing w:before="40" w:beforeAutospacing="0" w:after="0" w:afterAutospacing="0"/>
        <w:ind w:firstLine="556"/>
        <w:jc w:val="both"/>
        <w:rPr>
          <w:sz w:val="20"/>
          <w:szCs w:val="20"/>
        </w:rPr>
      </w:pPr>
      <w:r>
        <w:rPr>
          <w:sz w:val="20"/>
          <w:szCs w:val="20"/>
        </w:rPr>
        <w:t> </w:t>
      </w:r>
    </w:p>
    <w:p w:rsidR="00000000" w:rsidRDefault="00827839">
      <w:pPr>
        <w:pStyle w:val="a3"/>
        <w:spacing w:before="0" w:beforeAutospacing="0" w:after="0" w:afterAutospacing="0"/>
        <w:ind w:firstLine="556"/>
        <w:jc w:val="both"/>
        <w:rPr>
          <w:sz w:val="20"/>
          <w:szCs w:val="20"/>
        </w:rPr>
      </w:pPr>
      <w:r>
        <w:rPr>
          <w:sz w:val="20"/>
          <w:szCs w:val="20"/>
        </w:rPr>
        <w:t>For fiscal 2019, fiscal 2018 and fiscal 2017</w:t>
      </w:r>
      <w:r>
        <w:rPr>
          <w:sz w:val="20"/>
          <w:szCs w:val="20"/>
        </w:rPr>
        <w:t>, all of our named executive officers participated in the 401(k) Plan.  The benefits provided to our named executive officers under the 401(k) Plan are provided on the same basis as to other exempt employees of the Partnership.  Amounts deferred by our nam</w:t>
      </w:r>
      <w:r>
        <w:rPr>
          <w:sz w:val="20"/>
          <w:szCs w:val="20"/>
        </w:rPr>
        <w:t>ed executive officers under the 401(k) Plan during fiscal 2019, fiscal 2018 and fiscal 2017 are included in the column titled “Salary” in the Summary Compensation Table below.</w:t>
      </w:r>
    </w:p>
    <w:p w:rsidR="00000000" w:rsidRDefault="00827839">
      <w:pPr>
        <w:pStyle w:val="a3"/>
        <w:spacing w:before="240" w:beforeAutospacing="0" w:after="0" w:afterAutospacing="0"/>
        <w:ind w:firstLine="556"/>
        <w:jc w:val="both"/>
        <w:rPr>
          <w:sz w:val="20"/>
          <w:szCs w:val="20"/>
        </w:rPr>
      </w:pPr>
      <w:r>
        <w:rPr>
          <w:sz w:val="20"/>
          <w:szCs w:val="20"/>
        </w:rPr>
        <w:t xml:space="preserve">Our 401(k) Plan provides a match of $0.50 for every dollar contributed up to 6% </w:t>
      </w:r>
      <w:r>
        <w:rPr>
          <w:sz w:val="20"/>
          <w:szCs w:val="20"/>
        </w:rPr>
        <w:t>of each participant’s total base pay, up to a maximum compensation limit of $280,000 for calendar year 2019, $275,000 for calendar year 2018 and $270,000 for calendar year 2017. If, however, Actual Adjusted EBITDA is 115% or more than Budgeted EBITDA, each</w:t>
      </w:r>
      <w:r>
        <w:rPr>
          <w:sz w:val="20"/>
          <w:szCs w:val="20"/>
        </w:rPr>
        <w:t xml:space="preserve"> participant will receive a match of $1 for every dollar contributed up to 6% of each participant’s total base pay, up to the applicable maximum compensation limits.  For fiscal 2019, fiscal 2018 and fiscal 2017, the performance conditions that provide for</w:t>
      </w:r>
      <w:r>
        <w:rPr>
          <w:sz w:val="20"/>
          <w:szCs w:val="20"/>
        </w:rPr>
        <w:t xml:space="preserve"> more than the $0.50 match were not met.</w:t>
      </w:r>
    </w:p>
    <w:p w:rsidR="00000000" w:rsidRDefault="00827839">
      <w:pPr>
        <w:pStyle w:val="a3"/>
        <w:spacing w:before="240" w:beforeAutospacing="0" w:after="0" w:afterAutospacing="0"/>
        <w:ind w:firstLine="556"/>
        <w:jc w:val="both"/>
        <w:rPr>
          <w:sz w:val="20"/>
          <w:szCs w:val="20"/>
        </w:rPr>
      </w:pPr>
      <w:r>
        <w:rPr>
          <w:sz w:val="20"/>
          <w:szCs w:val="20"/>
        </w:rPr>
        <w:t>The matching contributions made on behalf of our named executive officers for fiscal 2019, fiscal 2018 and fiscal 2017 are reported in the column titled “All Other Compensation” in the Summary Compensation Table bel</w:t>
      </w:r>
      <w:r>
        <w:rPr>
          <w:sz w:val="20"/>
          <w:szCs w:val="20"/>
        </w:rPr>
        <w:t>ow.</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65</w:t>
      </w:r>
    </w:p>
    <w:p w:rsidR="00000000" w:rsidRDefault="00827839">
      <w:pPr>
        <w:rPr>
          <w:rFonts w:eastAsia="Times New Roman"/>
        </w:rPr>
      </w:pPr>
      <w:r>
        <w:rPr>
          <w:rFonts w:eastAsia="Times New Roman"/>
        </w:rPr>
        <w:pict>
          <v:rect id="_x0000_i109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rPr>
          <w:i/>
          <w:iCs/>
          <w:color w:val="000000"/>
          <w:sz w:val="20"/>
          <w:szCs w:val="20"/>
        </w:rPr>
      </w:pPr>
      <w:r>
        <w:rPr>
          <w:i/>
          <w:iCs/>
          <w:color w:val="000000"/>
          <w:sz w:val="20"/>
          <w:szCs w:val="20"/>
        </w:rPr>
        <w:t>Other Benefits</w:t>
      </w:r>
    </w:p>
    <w:p w:rsidR="00000000" w:rsidRDefault="00827839">
      <w:pPr>
        <w:pStyle w:val="a3"/>
        <w:spacing w:before="120" w:beforeAutospacing="0" w:after="0" w:afterAutospacing="0"/>
        <w:ind w:firstLine="556"/>
        <w:jc w:val="both"/>
        <w:rPr>
          <w:sz w:val="20"/>
          <w:szCs w:val="20"/>
        </w:rPr>
      </w:pPr>
      <w:r>
        <w:rPr>
          <w:sz w:val="20"/>
          <w:szCs w:val="20"/>
        </w:rPr>
        <w:t xml:space="preserve">Each named executive officer is eligible to participate in all of our other employee benefit plans, such as the medical, dental, group </w:t>
      </w:r>
      <w:r>
        <w:rPr>
          <w:sz w:val="20"/>
          <w:szCs w:val="20"/>
        </w:rPr>
        <w:t>life insurance and disability plans, on the same basis as other exempt employees.  These benefit plans are offered to attract and retain talented employees by providing them with competitive benefits.</w:t>
      </w:r>
    </w:p>
    <w:p w:rsidR="00000000" w:rsidRDefault="00827839">
      <w:pPr>
        <w:pStyle w:val="a3"/>
        <w:spacing w:before="240" w:beforeAutospacing="0" w:after="0" w:afterAutospacing="0"/>
        <w:ind w:firstLine="556"/>
        <w:jc w:val="both"/>
        <w:rPr>
          <w:sz w:val="20"/>
          <w:szCs w:val="20"/>
        </w:rPr>
      </w:pPr>
      <w:r>
        <w:rPr>
          <w:sz w:val="20"/>
          <w:szCs w:val="20"/>
        </w:rPr>
        <w:t>There are no post-termination or other special rights p</w:t>
      </w:r>
      <w:r>
        <w:rPr>
          <w:sz w:val="20"/>
          <w:szCs w:val="20"/>
        </w:rPr>
        <w:t>rovided to any named executive officer to participate in these benefit programs other than the right to participate in such plans for a fixed period of time following termination of employment, on the same basis as is provided to other exempt employees, as</w:t>
      </w:r>
      <w:r>
        <w:rPr>
          <w:sz w:val="20"/>
          <w:szCs w:val="20"/>
        </w:rPr>
        <w:t xml:space="preserve"> required by law.  </w:t>
      </w:r>
    </w:p>
    <w:p w:rsidR="00000000" w:rsidRDefault="00827839">
      <w:pPr>
        <w:pStyle w:val="a3"/>
        <w:spacing w:before="240" w:beforeAutospacing="0" w:after="0" w:afterAutospacing="0"/>
        <w:ind w:firstLine="556"/>
        <w:jc w:val="both"/>
        <w:rPr>
          <w:sz w:val="20"/>
          <w:szCs w:val="20"/>
        </w:rPr>
      </w:pPr>
      <w:r>
        <w:rPr>
          <w:sz w:val="20"/>
          <w:szCs w:val="20"/>
        </w:rPr>
        <w:t>The costs of all such benefits incurred on behalf of our named executive officers in fiscal 2019, fiscal 2018 and fiscal 2017 are reported in the column titled “All Other Compensation” in the Summary Compensation Table below.</w:t>
      </w:r>
    </w:p>
    <w:p w:rsidR="00000000" w:rsidRDefault="00827839">
      <w:pPr>
        <w:pStyle w:val="a3"/>
        <w:spacing w:before="360" w:beforeAutospacing="0" w:after="0" w:afterAutospacing="0"/>
        <w:rPr>
          <w:i/>
          <w:iCs/>
          <w:color w:val="000000"/>
          <w:sz w:val="20"/>
          <w:szCs w:val="20"/>
        </w:rPr>
      </w:pPr>
      <w:r>
        <w:rPr>
          <w:i/>
          <w:iCs/>
          <w:color w:val="000000"/>
          <w:sz w:val="20"/>
          <w:szCs w:val="20"/>
        </w:rPr>
        <w:t>Perquisites</w:t>
      </w:r>
    </w:p>
    <w:p w:rsidR="00000000" w:rsidRDefault="00827839">
      <w:pPr>
        <w:pStyle w:val="a3"/>
        <w:spacing w:before="120" w:beforeAutospacing="0" w:after="0" w:afterAutospacing="0"/>
        <w:ind w:firstLine="556"/>
        <w:jc w:val="both"/>
        <w:rPr>
          <w:sz w:val="20"/>
          <w:szCs w:val="20"/>
        </w:rPr>
      </w:pPr>
      <w:r>
        <w:rPr>
          <w:sz w:val="20"/>
          <w:szCs w:val="20"/>
        </w:rPr>
        <w:t>Perquisites repres</w:t>
      </w:r>
      <w:r>
        <w:rPr>
          <w:sz w:val="20"/>
          <w:szCs w:val="20"/>
        </w:rPr>
        <w:t>ent a minor component of our executive officers’ compensation.  Each of our named executive officers is eligible for tax preparation services, a company-provided vehicle, and an annual physical.  </w:t>
      </w:r>
    </w:p>
    <w:p w:rsidR="00000000" w:rsidRDefault="00827839">
      <w:pPr>
        <w:pStyle w:val="a3"/>
        <w:spacing w:before="240" w:beforeAutospacing="0" w:after="0" w:afterAutospacing="0"/>
        <w:ind w:firstLine="556"/>
        <w:jc w:val="both"/>
        <w:rPr>
          <w:sz w:val="20"/>
          <w:szCs w:val="20"/>
        </w:rPr>
      </w:pPr>
      <w:r>
        <w:rPr>
          <w:sz w:val="20"/>
          <w:szCs w:val="20"/>
        </w:rPr>
        <w:t>The following table summarizes both the value and the utili</w:t>
      </w:r>
      <w:r>
        <w:rPr>
          <w:sz w:val="20"/>
          <w:szCs w:val="20"/>
        </w:rPr>
        <w:t>zation of these perquisites by our named executive officers in fiscal 2019.</w:t>
      </w:r>
    </w:p>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256"/>
        <w:gridCol w:w="93"/>
        <w:gridCol w:w="116"/>
        <w:gridCol w:w="864"/>
        <w:gridCol w:w="65"/>
        <w:gridCol w:w="79"/>
        <w:gridCol w:w="116"/>
        <w:gridCol w:w="864"/>
        <w:gridCol w:w="65"/>
        <w:gridCol w:w="81"/>
        <w:gridCol w:w="115"/>
        <w:gridCol w:w="866"/>
        <w:gridCol w:w="65"/>
      </w:tblGrid>
      <w:tr w:rsidR="00000000">
        <w:trPr>
          <w:divId w:val="1754281235"/>
        </w:trPr>
        <w:tc>
          <w:tcPr>
            <w:tcW w:w="246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Tax</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Preparation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Services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Employer</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Provided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Vehicle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Physical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54281235"/>
        </w:trPr>
        <w:tc>
          <w:tcPr>
            <w:tcW w:w="2461"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19,783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54281235"/>
        </w:trPr>
        <w:tc>
          <w:tcPr>
            <w:tcW w:w="24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17,054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54281235"/>
        </w:trPr>
        <w:tc>
          <w:tcPr>
            <w:tcW w:w="24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54281235"/>
        </w:trPr>
        <w:tc>
          <w:tcPr>
            <w:tcW w:w="24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13,670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54281235"/>
        </w:trPr>
        <w:tc>
          <w:tcPr>
            <w:tcW w:w="24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16,866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Perquisite-related costs for fiscal 2019, fiscal 2018 and fiscal 2017 are reported in the column titled “All Other Compensation” in the Summary Compensation Table below.</w:t>
      </w:r>
    </w:p>
    <w:p w:rsidR="00000000" w:rsidRDefault="00827839">
      <w:pPr>
        <w:pStyle w:val="a3"/>
        <w:spacing w:before="360" w:beforeAutospacing="0" w:after="0" w:afterAutospacing="0"/>
        <w:rPr>
          <w:i/>
          <w:iCs/>
          <w:color w:val="000000"/>
          <w:sz w:val="20"/>
          <w:szCs w:val="20"/>
        </w:rPr>
      </w:pPr>
      <w:r>
        <w:rPr>
          <w:i/>
          <w:iCs/>
          <w:color w:val="000000"/>
          <w:sz w:val="20"/>
          <w:szCs w:val="20"/>
        </w:rPr>
        <w:t>Severance Benefits</w:t>
      </w:r>
    </w:p>
    <w:p w:rsidR="00000000" w:rsidRDefault="00827839">
      <w:pPr>
        <w:pStyle w:val="a3"/>
        <w:spacing w:before="120" w:beforeAutospacing="0" w:after="0" w:afterAutospacing="0"/>
        <w:ind w:firstLine="556"/>
        <w:jc w:val="both"/>
        <w:rPr>
          <w:sz w:val="20"/>
          <w:szCs w:val="20"/>
        </w:rPr>
      </w:pPr>
      <w:r>
        <w:rPr>
          <w:sz w:val="20"/>
          <w:szCs w:val="20"/>
        </w:rPr>
        <w:t>We believe that, in most cases, employees should be paid reasonable severance benefits.  Therefore, it is the general policy of the Partnership to provide named executive officers who are terminated by us without cause or who choose to terminate their empl</w:t>
      </w:r>
      <w:r>
        <w:rPr>
          <w:sz w:val="20"/>
          <w:szCs w:val="20"/>
        </w:rPr>
        <w:t>oyment with us for good reason with a severance payment equal to, at a minimum, one year’s base salary, unless circumstances dictate otherwise.  This policy was adopted because it may be difficult for former named executive officers to find comparable empl</w:t>
      </w:r>
      <w:r>
        <w:rPr>
          <w:sz w:val="20"/>
          <w:szCs w:val="20"/>
        </w:rPr>
        <w:t>oyment within a short period of time.  However, depending upon individual facts and circumstances, particularly the severed employee’s tenure with us and the employee’s level, the Partnership may make exceptions to this general policy.  </w:t>
      </w:r>
    </w:p>
    <w:p w:rsidR="00000000" w:rsidRDefault="00827839">
      <w:pPr>
        <w:pStyle w:val="a3"/>
        <w:spacing w:before="360" w:beforeAutospacing="0" w:after="0" w:afterAutospacing="0"/>
        <w:rPr>
          <w:i/>
          <w:iCs/>
          <w:color w:val="000000"/>
          <w:sz w:val="20"/>
          <w:szCs w:val="20"/>
        </w:rPr>
      </w:pPr>
      <w:r>
        <w:rPr>
          <w:i/>
          <w:iCs/>
          <w:color w:val="000000"/>
          <w:sz w:val="20"/>
          <w:szCs w:val="20"/>
        </w:rPr>
        <w:t xml:space="preserve">Change of Control </w:t>
      </w:r>
    </w:p>
    <w:p w:rsidR="00000000" w:rsidRDefault="00827839">
      <w:pPr>
        <w:pStyle w:val="a3"/>
        <w:spacing w:before="120" w:beforeAutospacing="0" w:after="0" w:afterAutospacing="0"/>
        <w:ind w:firstLine="556"/>
        <w:jc w:val="both"/>
        <w:rPr>
          <w:sz w:val="20"/>
          <w:szCs w:val="20"/>
        </w:rPr>
      </w:pPr>
      <w:r>
        <w:rPr>
          <w:sz w:val="20"/>
          <w:szCs w:val="20"/>
        </w:rPr>
        <w:t xml:space="preserve">Our executive officers and other key employees have built the Partnership into the successful enterprise that it is today; therefore, we believe that it is important to protect them in the event of a change of control.  Further, it is our belief that the </w:t>
      </w:r>
      <w:r>
        <w:rPr>
          <w:sz w:val="20"/>
          <w:szCs w:val="20"/>
        </w:rPr>
        <w:t>interests of our Unitholders will be best served if the interests of our executive officers are aligned with them, and that providing change of control benefits should eliminate, or at least reduce, the reluctance of our executive officers to pursue potent</w:t>
      </w:r>
      <w:r>
        <w:rPr>
          <w:sz w:val="20"/>
          <w:szCs w:val="20"/>
        </w:rPr>
        <w:t>ial change of control transactions that may be in the best interests of our Unitholders.  Additionally, we believe that the severance benefits provided to our executive officers and to our key employees are consistent with market practice and appropriate b</w:t>
      </w:r>
      <w:r>
        <w:rPr>
          <w:sz w:val="20"/>
          <w:szCs w:val="20"/>
        </w:rPr>
        <w:t>oth because these benefits are an inducement to accepting employment and because the executive officers are subject to non-competition and non-solicitation covenants for a period following termination of employment. Therefore, our executive officers and ot</w:t>
      </w:r>
      <w:r>
        <w:rPr>
          <w:sz w:val="20"/>
          <w:szCs w:val="20"/>
        </w:rPr>
        <w:t>her key employees are provided with severance protection following a change of control, which we refer to as the “Severance Protection Plan.”  During fiscal 2019, our Severance Protection Plan covered all of our executive officers, including our named exec</w:t>
      </w:r>
      <w:r>
        <w:rPr>
          <w:sz w:val="20"/>
          <w:szCs w:val="20"/>
        </w:rPr>
        <w:t>utive officers.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66</w:t>
      </w:r>
    </w:p>
    <w:p w:rsidR="00000000" w:rsidRDefault="00827839">
      <w:pPr>
        <w:rPr>
          <w:rFonts w:eastAsia="Times New Roman"/>
        </w:rPr>
      </w:pPr>
      <w:r>
        <w:rPr>
          <w:rFonts w:eastAsia="Times New Roman"/>
        </w:rPr>
        <w:pict>
          <v:rect id="_x0000_i109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The Severance Protection Plan provides for severance payments of either 65 or 78 weeks of base salary and target cash bonuses for such off</w:t>
      </w:r>
      <w:r>
        <w:rPr>
          <w:sz w:val="20"/>
          <w:szCs w:val="20"/>
        </w:rPr>
        <w:t>icers and key employees if within one year following a change of control their employment is terminated by us or our successor or they resign for Good Reason (as defined in the Severance Protection Plan).  All of our named executive officers are eligible f</w:t>
      </w:r>
      <w:r>
        <w:rPr>
          <w:sz w:val="20"/>
          <w:szCs w:val="20"/>
        </w:rPr>
        <w:t>or 78 weeks of base salary and target bonuses. The cash components of any change of control benefits are to be paid in a lump sum.</w:t>
      </w:r>
    </w:p>
    <w:p w:rsidR="00000000" w:rsidRDefault="00827839">
      <w:pPr>
        <w:pStyle w:val="a3"/>
        <w:spacing w:before="240" w:beforeAutospacing="0" w:after="0" w:afterAutospacing="0"/>
        <w:ind w:firstLine="556"/>
        <w:jc w:val="both"/>
        <w:rPr>
          <w:sz w:val="20"/>
          <w:szCs w:val="20"/>
        </w:rPr>
      </w:pPr>
      <w:r>
        <w:rPr>
          <w:sz w:val="20"/>
          <w:szCs w:val="20"/>
        </w:rPr>
        <w:t>In addition, upon a change of control, without regard to whether a participant’s employment is terminated, all unvested award</w:t>
      </w:r>
      <w:r>
        <w:rPr>
          <w:sz w:val="20"/>
          <w:szCs w:val="20"/>
        </w:rPr>
        <w:t>s granted under our Restricted Unit Plans will vest immediately and become distributable to the participants.  Also, without regard to whether a participant’s employment is terminated, all outstanding, unvested LTIP awards will vest immediately as if the t</w:t>
      </w:r>
      <w:r>
        <w:rPr>
          <w:sz w:val="20"/>
          <w:szCs w:val="20"/>
        </w:rPr>
        <w:t xml:space="preserve">hree-year measurement period for each outstanding award concluded on the date the change of control occurred.  Under the provisions of the LTIP document, an amount equal to the cash value of 150% of a participant’s unvested LTIP units, plus a sum equal to </w:t>
      </w:r>
      <w:r>
        <w:rPr>
          <w:sz w:val="20"/>
          <w:szCs w:val="20"/>
        </w:rPr>
        <w:t xml:space="preserve">150% of a participant’s unvested LTIP units multiplied by an amount equal to the cumulative, per-Common Unit distribution from the beginning of an unvested award’s three-year measurement period through the date on which a change of control occurred, would </w:t>
      </w:r>
      <w:r>
        <w:rPr>
          <w:sz w:val="20"/>
          <w:szCs w:val="20"/>
        </w:rPr>
        <w:t>become payable to the participants.  </w:t>
      </w:r>
    </w:p>
    <w:p w:rsidR="00000000" w:rsidRDefault="00827839">
      <w:pPr>
        <w:pStyle w:val="a3"/>
        <w:spacing w:before="240" w:beforeAutospacing="0" w:after="0" w:afterAutospacing="0"/>
        <w:ind w:firstLine="556"/>
        <w:jc w:val="both"/>
        <w:rPr>
          <w:sz w:val="20"/>
          <w:szCs w:val="20"/>
        </w:rPr>
      </w:pPr>
      <w:r>
        <w:rPr>
          <w:sz w:val="20"/>
          <w:szCs w:val="20"/>
        </w:rPr>
        <w:t>For purposes of these benefits, a change of control is deemed to occur, in general, if:</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35756457"/>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An acquisition of our Common Units or voting equity interests by any person immediately after which such person beneficially o</w:t>
            </w:r>
            <w:r>
              <w:rPr>
                <w:color w:val="000000"/>
                <w:sz w:val="20"/>
                <w:szCs w:val="20"/>
              </w:rPr>
              <w:t>wns more than 30% of the combined voting power of our then outstanding Common Units, unless such acquisition was made by (a) us or our subsidiaries, or any employee benefit plan maintained by us, the Operating Partnership or any of our subsidiaries, or (b)</w:t>
            </w:r>
            <w:r>
              <w:rPr>
                <w:color w:val="000000"/>
                <w:sz w:val="20"/>
                <w:szCs w:val="20"/>
              </w:rPr>
              <w:t xml:space="preserve"> any person in a transaction where (A) the existing holders prior to the transaction own at least 50% of the voting power of the entity surviving the transaction and (B) none of the Unitholders other than the Partnership, our subsidiaries, any employee ben</w:t>
            </w:r>
            <w:r>
              <w:rPr>
                <w:color w:val="000000"/>
                <w:sz w:val="20"/>
                <w:szCs w:val="20"/>
              </w:rPr>
              <w:t xml:space="preserve">efit plan maintained by us, the Operating Partnership, or the surviving entity, or the existing beneficial owner of more than 25% of the outstanding Common Units owns more than 25% of the combined voting power of the surviving entity, which transaction we </w:t>
            </w:r>
            <w:r>
              <w:rPr>
                <w:color w:val="000000"/>
                <w:sz w:val="20"/>
                <w:szCs w:val="20"/>
              </w:rPr>
              <w:t xml:space="preserve">refer to as a “Non-Control Transaction”; or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The consummation of (a) a merger, consolidation or reorganization involving the Partnership other than a Non-Control Transaction; (b) a complete liquidation or dissolution of the Partnership; or (c) the sale or other disposition of 40% or more of the gross</w:t>
            </w:r>
            <w:r>
              <w:rPr>
                <w:color w:val="000000"/>
                <w:sz w:val="20"/>
                <w:szCs w:val="20"/>
              </w:rPr>
              <w:t xml:space="preserve"> fair market value of all the assets of the Partnership to any person (other than a transfer to a subsidiary).</w:t>
            </w:r>
          </w:p>
        </w:tc>
      </w:tr>
    </w:tbl>
    <w:p w:rsidR="00000000" w:rsidRDefault="00827839">
      <w:pPr>
        <w:pStyle w:val="a3"/>
        <w:spacing w:before="240" w:beforeAutospacing="0" w:after="0" w:afterAutospacing="0"/>
        <w:ind w:firstLine="556"/>
        <w:jc w:val="both"/>
        <w:rPr>
          <w:sz w:val="20"/>
          <w:szCs w:val="20"/>
        </w:rPr>
      </w:pPr>
      <w:r>
        <w:rPr>
          <w:sz w:val="20"/>
          <w:szCs w:val="20"/>
        </w:rPr>
        <w:t>For additional information pertaining to severance payable to our named executive officers following a change of control-related termination, se</w:t>
      </w:r>
      <w:r>
        <w:rPr>
          <w:sz w:val="20"/>
          <w:szCs w:val="20"/>
        </w:rPr>
        <w:t>e the tables titled “Potential Payments Upon Termination” below.</w:t>
      </w:r>
    </w:p>
    <w:p w:rsidR="00000000" w:rsidRDefault="00827839">
      <w:pPr>
        <w:pStyle w:val="a3"/>
        <w:spacing w:before="240" w:beforeAutospacing="0" w:after="0" w:afterAutospacing="0"/>
        <w:ind w:firstLine="556"/>
        <w:jc w:val="both"/>
        <w:rPr>
          <w:sz w:val="20"/>
          <w:szCs w:val="20"/>
        </w:rPr>
      </w:pPr>
      <w:r>
        <w:rPr>
          <w:sz w:val="20"/>
          <w:szCs w:val="20"/>
        </w:rPr>
        <w:t>The Severance Protection Plan, as currently designed, has been in place since the Partnership’s initial public offering in 1996.  Because the basic provisions of the existing plan have remain</w:t>
      </w:r>
      <w:r>
        <w:rPr>
          <w:sz w:val="20"/>
          <w:szCs w:val="20"/>
        </w:rPr>
        <w:t>ed unchanged for over two decades, the Committee commissioned WTW to evaluate current market practices for change of control severance for key employees of similarly sized companies in order to evaluate how the existing plan compares to current market cond</w:t>
      </w:r>
      <w:r>
        <w:rPr>
          <w:sz w:val="20"/>
          <w:szCs w:val="20"/>
        </w:rPr>
        <w:t>itions.  </w:t>
      </w:r>
    </w:p>
    <w:p w:rsidR="00000000" w:rsidRDefault="00827839">
      <w:pPr>
        <w:pStyle w:val="a3"/>
        <w:spacing w:before="240" w:beforeAutospacing="0" w:after="0" w:afterAutospacing="0"/>
        <w:ind w:firstLine="556"/>
        <w:jc w:val="both"/>
        <w:rPr>
          <w:sz w:val="20"/>
          <w:szCs w:val="20"/>
        </w:rPr>
      </w:pPr>
      <w:r>
        <w:rPr>
          <w:sz w:val="20"/>
          <w:szCs w:val="20"/>
        </w:rPr>
        <w:t>Based on the results of the benchmarking study performed by WTW, at its November 12, 2019 meeting, the Committee approved two new Special Severance Plans which become effective January 1, 2020.  One plan, the Executive Special Severance Plan, gen</w:t>
      </w:r>
      <w:r>
        <w:rPr>
          <w:sz w:val="20"/>
          <w:szCs w:val="20"/>
        </w:rPr>
        <w:t>erally covering our named executive officers, as well as our vice presidents, assistant vice presidents and managing directors provides for severance payments of either 156 weeks, 130 weeks or 104 weeks of base salary and target cash bonuses depending on t</w:t>
      </w:r>
      <w:r>
        <w:rPr>
          <w:sz w:val="20"/>
          <w:szCs w:val="20"/>
        </w:rPr>
        <w:t>he respective executive level.  All of our named executive officers are eligible for 156 weeks of base salary and target bonuses in the event of a change of control (as defined by the respective plans).  </w:t>
      </w:r>
    </w:p>
    <w:p w:rsidR="00000000" w:rsidRDefault="00827839">
      <w:pPr>
        <w:pStyle w:val="a3"/>
        <w:spacing w:before="240" w:beforeAutospacing="0" w:after="0" w:afterAutospacing="0"/>
        <w:ind w:firstLine="556"/>
        <w:jc w:val="both"/>
        <w:rPr>
          <w:sz w:val="20"/>
          <w:szCs w:val="20"/>
        </w:rPr>
      </w:pPr>
      <w:r>
        <w:rPr>
          <w:sz w:val="20"/>
          <w:szCs w:val="20"/>
        </w:rPr>
        <w:t>The second plan, called the Non-Executive Special S</w:t>
      </w:r>
      <w:r>
        <w:rPr>
          <w:sz w:val="20"/>
          <w:szCs w:val="20"/>
        </w:rPr>
        <w:t>everance Plan, covering our senior manager and director level key employees, provides for severance payments equal to 78 weeks of base salary and target cash bonuses for director level key employees and, for senior manager level employees, the greater of 2</w:t>
      </w:r>
      <w:r>
        <w:rPr>
          <w:sz w:val="20"/>
          <w:szCs w:val="20"/>
        </w:rPr>
        <w:t>6 weeks or one (1) week for each year of service (up to a maximum of 52 weeks) of base salary.  Eligible key employees in both the Executive Special Severance Plan and the Non-Executive Special Severance Plan are entitled to subsidized health care continua</w:t>
      </w:r>
      <w:r>
        <w:rPr>
          <w:sz w:val="20"/>
          <w:szCs w:val="20"/>
        </w:rPr>
        <w:t>tion coverage at varying levels, depending on the length of eligible severance payments, as well as outplacement services.  </w:t>
      </w:r>
    </w:p>
    <w:p w:rsidR="00000000" w:rsidRDefault="00827839">
      <w:pPr>
        <w:pStyle w:val="a3"/>
        <w:spacing w:before="240" w:beforeAutospacing="0" w:after="0" w:afterAutospacing="0"/>
        <w:ind w:firstLine="556"/>
        <w:jc w:val="both"/>
        <w:rPr>
          <w:sz w:val="20"/>
          <w:szCs w:val="20"/>
        </w:rPr>
      </w:pPr>
      <w:r>
        <w:rPr>
          <w:sz w:val="20"/>
          <w:szCs w:val="20"/>
        </w:rPr>
        <w:t>Under the new plans, eligible key employees must experience a double trigger, meaning a change of control coupled with a “Good Reas</w:t>
      </w:r>
      <w:r>
        <w:rPr>
          <w:sz w:val="20"/>
          <w:szCs w:val="20"/>
        </w:rPr>
        <w:t>on” job elimination or diminution in base salary, target bonus or duties and responsibilities, as defined in the new plans.  Eligible key employees will also be required to execute a release of claims, inclusive of an 18-month non-competition, non-solicita</w:t>
      </w:r>
      <w:r>
        <w:rPr>
          <w:sz w:val="20"/>
          <w:szCs w:val="20"/>
        </w:rPr>
        <w:t>tion and non-disparagement covenant as a condition of receiving severance payments under the plans.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67</w:t>
      </w:r>
    </w:p>
    <w:p w:rsidR="00000000" w:rsidRDefault="00827839">
      <w:pPr>
        <w:rPr>
          <w:rFonts w:eastAsia="Times New Roman"/>
        </w:rPr>
      </w:pPr>
      <w:r>
        <w:rPr>
          <w:rFonts w:eastAsia="Times New Roman"/>
        </w:rPr>
        <w:pict>
          <v:rect id="_x0000_i109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color w:val="000000"/>
          <w:sz w:val="20"/>
          <w:szCs w:val="20"/>
        </w:rPr>
      </w:pPr>
      <w:r>
        <w:rPr>
          <w:b/>
          <w:bCs/>
          <w:color w:val="000000"/>
          <w:sz w:val="20"/>
          <w:szCs w:val="20"/>
        </w:rPr>
        <w:t>Additional Information</w:t>
      </w:r>
    </w:p>
    <w:p w:rsidR="00000000" w:rsidRDefault="00827839">
      <w:pPr>
        <w:pStyle w:val="a3"/>
        <w:spacing w:before="120" w:beforeAutospacing="0" w:after="0" w:afterAutospacing="0"/>
        <w:rPr>
          <w:i/>
          <w:iCs/>
          <w:color w:val="000000"/>
          <w:sz w:val="20"/>
          <w:szCs w:val="20"/>
        </w:rPr>
      </w:pPr>
      <w:r>
        <w:rPr>
          <w:i/>
          <w:iCs/>
          <w:color w:val="000000"/>
          <w:sz w:val="20"/>
          <w:szCs w:val="20"/>
        </w:rPr>
        <w:t>Impact of Accounting and Tax Treatments of Executive Compensation</w:t>
      </w:r>
    </w:p>
    <w:p w:rsidR="00000000" w:rsidRDefault="00827839">
      <w:pPr>
        <w:pStyle w:val="a3"/>
        <w:spacing w:before="120" w:beforeAutospacing="0" w:after="0" w:afterAutospacing="0"/>
        <w:ind w:firstLine="556"/>
        <w:jc w:val="both"/>
        <w:rPr>
          <w:sz w:val="20"/>
          <w:szCs w:val="20"/>
        </w:rPr>
      </w:pPr>
      <w:r>
        <w:rPr>
          <w:sz w:val="20"/>
          <w:szCs w:val="20"/>
        </w:rPr>
        <w:t>As we are a partnership and not a corporation for federal income tax purposes, we are not subject to the limitations of IRC Section 162(m) with respect to tax deductible executive compensation.  Accordingly, none of the compensation paid to our named execu</w:t>
      </w:r>
      <w:r>
        <w:rPr>
          <w:sz w:val="20"/>
          <w:szCs w:val="20"/>
        </w:rPr>
        <w:t>tive officers is subject to a limitation as to tax deductibility.  However, if such tax laws related to executive compensation change in the future, the Committee will consider the implication of such changes to us.</w:t>
      </w:r>
    </w:p>
    <w:p w:rsidR="00000000" w:rsidRDefault="00827839">
      <w:pPr>
        <w:pStyle w:val="a3"/>
        <w:spacing w:before="240" w:beforeAutospacing="0" w:after="0" w:afterAutospacing="0"/>
        <w:ind w:firstLine="556"/>
        <w:jc w:val="both"/>
        <w:rPr>
          <w:sz w:val="20"/>
          <w:szCs w:val="20"/>
        </w:rPr>
      </w:pPr>
      <w:r>
        <w:rPr>
          <w:sz w:val="20"/>
          <w:szCs w:val="20"/>
        </w:rPr>
        <w:t>Although it is our practice to comply wi</w:t>
      </w:r>
      <w:r>
        <w:rPr>
          <w:sz w:val="20"/>
          <w:szCs w:val="20"/>
        </w:rPr>
        <w:t>th the statutory and regulatory provisions of IRC Section 409A, the Severance Protection Plan provides that if any payment under the Severance Protection Plan subjects a participant to the 20% additional tax under IRC Section 409A, the payment will be gros</w:t>
      </w:r>
      <w:r>
        <w:rPr>
          <w:sz w:val="20"/>
          <w:szCs w:val="20"/>
        </w:rPr>
        <w:t>sed up to permit such participant to retain a net amount on an after-tax basis equal to what he or she would have received had the additional tax not been payable.</w:t>
      </w:r>
    </w:p>
    <w:p w:rsidR="00000000" w:rsidRDefault="00827839">
      <w:pPr>
        <w:pStyle w:val="a3"/>
        <w:spacing w:before="360" w:beforeAutospacing="0" w:after="0" w:afterAutospacing="0"/>
        <w:jc w:val="both"/>
        <w:rPr>
          <w:b/>
          <w:bCs/>
          <w:color w:val="000000"/>
          <w:sz w:val="20"/>
          <w:szCs w:val="20"/>
        </w:rPr>
      </w:pPr>
      <w:r>
        <w:rPr>
          <w:b/>
          <w:bCs/>
          <w:color w:val="000000"/>
          <w:sz w:val="20"/>
          <w:szCs w:val="20"/>
        </w:rPr>
        <w:t>Report of the Compensation Committee</w:t>
      </w:r>
    </w:p>
    <w:p w:rsidR="00000000" w:rsidRDefault="00827839">
      <w:pPr>
        <w:pStyle w:val="a3"/>
        <w:spacing w:before="120" w:beforeAutospacing="0" w:after="0" w:afterAutospacing="0"/>
        <w:ind w:firstLine="556"/>
        <w:jc w:val="both"/>
        <w:rPr>
          <w:sz w:val="20"/>
          <w:szCs w:val="20"/>
        </w:rPr>
      </w:pPr>
      <w:r>
        <w:rPr>
          <w:sz w:val="20"/>
          <w:szCs w:val="20"/>
        </w:rPr>
        <w:t>The Compensation Committee has reviewed and discussed w</w:t>
      </w:r>
      <w:r>
        <w:rPr>
          <w:sz w:val="20"/>
          <w:szCs w:val="20"/>
        </w:rPr>
        <w:t>ith management this Compensation Discussion and Analysis.  Based on its review and discussions with management, the Committee recommended to the Board of Supervisors that this Compensation Discussion and Analysis be included in this Annual Report on Form 1</w:t>
      </w:r>
      <w:r>
        <w:rPr>
          <w:sz w:val="20"/>
          <w:szCs w:val="20"/>
        </w:rPr>
        <w:t>0-K for fiscal 2019.</w:t>
      </w:r>
    </w:p>
    <w:p w:rsidR="00000000" w:rsidRDefault="00827839">
      <w:pPr>
        <w:pStyle w:val="a3"/>
        <w:spacing w:before="0" w:beforeAutospacing="0" w:after="0" w:afterAutospacing="0"/>
        <w:jc w:val="both"/>
      </w:pPr>
      <w:r>
        <w:t> </w:t>
      </w:r>
    </w:p>
    <w:p w:rsidR="00000000" w:rsidRDefault="00827839">
      <w:pPr>
        <w:pStyle w:val="a3"/>
        <w:spacing w:before="0" w:beforeAutospacing="0" w:after="0" w:afterAutospacing="0"/>
        <w:jc w:val="both"/>
        <w:rPr>
          <w:color w:val="000000"/>
          <w:sz w:val="20"/>
          <w:szCs w:val="20"/>
        </w:rPr>
      </w:pPr>
      <w:r>
        <w:rPr>
          <w:color w:val="000000"/>
          <w:sz w:val="20"/>
          <w:szCs w:val="20"/>
        </w:rPr>
        <w:t>The Compensation Committee:</w:t>
      </w:r>
    </w:p>
    <w:p w:rsidR="00000000" w:rsidRDefault="00827839">
      <w:pPr>
        <w:pStyle w:val="a3"/>
        <w:spacing w:before="0" w:beforeAutospacing="0" w:after="0" w:afterAutospacing="0"/>
        <w:jc w:val="both"/>
      </w:pPr>
      <w:r>
        <w:t> </w:t>
      </w:r>
    </w:p>
    <w:p w:rsidR="00000000" w:rsidRDefault="00827839">
      <w:pPr>
        <w:pStyle w:val="a3"/>
        <w:spacing w:before="0" w:beforeAutospacing="0" w:after="0" w:afterAutospacing="0"/>
        <w:jc w:val="both"/>
        <w:rPr>
          <w:color w:val="000000"/>
          <w:sz w:val="20"/>
          <w:szCs w:val="20"/>
        </w:rPr>
      </w:pPr>
      <w:r>
        <w:rPr>
          <w:color w:val="000000"/>
          <w:sz w:val="20"/>
          <w:szCs w:val="20"/>
        </w:rPr>
        <w:t>Matthew J. Chanin, Chair</w:t>
      </w:r>
    </w:p>
    <w:p w:rsidR="00000000" w:rsidRDefault="00827839">
      <w:pPr>
        <w:pStyle w:val="a3"/>
        <w:spacing w:before="0" w:beforeAutospacing="0" w:after="0" w:afterAutospacing="0"/>
        <w:jc w:val="both"/>
        <w:rPr>
          <w:color w:val="000000"/>
          <w:sz w:val="20"/>
          <w:szCs w:val="20"/>
        </w:rPr>
      </w:pPr>
      <w:r>
        <w:rPr>
          <w:color w:val="000000"/>
          <w:sz w:val="20"/>
          <w:szCs w:val="20"/>
        </w:rPr>
        <w:t>Harold R. Logan, Jr.</w:t>
      </w:r>
    </w:p>
    <w:p w:rsidR="00000000" w:rsidRDefault="00827839">
      <w:pPr>
        <w:pStyle w:val="a3"/>
        <w:spacing w:before="0" w:beforeAutospacing="0" w:after="0" w:afterAutospacing="0"/>
        <w:jc w:val="both"/>
        <w:rPr>
          <w:color w:val="000000"/>
          <w:sz w:val="20"/>
          <w:szCs w:val="20"/>
        </w:rPr>
      </w:pPr>
      <w:r>
        <w:rPr>
          <w:color w:val="000000"/>
          <w:sz w:val="20"/>
          <w:szCs w:val="20"/>
        </w:rPr>
        <w:t xml:space="preserve">John Hoyt Stookey </w:t>
      </w:r>
    </w:p>
    <w:p w:rsidR="00000000" w:rsidRDefault="00827839">
      <w:pPr>
        <w:pStyle w:val="a3"/>
        <w:spacing w:before="360" w:beforeAutospacing="0" w:after="0" w:afterAutospacing="0"/>
        <w:jc w:val="center"/>
        <w:rPr>
          <w:b/>
          <w:bCs/>
          <w:i/>
          <w:iCs/>
          <w:color w:val="000000"/>
          <w:sz w:val="20"/>
          <w:szCs w:val="20"/>
        </w:rPr>
      </w:pPr>
      <w:r>
        <w:rPr>
          <w:b/>
          <w:bCs/>
          <w:i/>
          <w:iCs/>
          <w:color w:val="000000"/>
          <w:sz w:val="20"/>
          <w:szCs w:val="20"/>
        </w:rPr>
        <w:t>ADDITIONAL INFORMATION REGARDING EXECUTIVE COMPENSATION</w:t>
      </w:r>
    </w:p>
    <w:p w:rsidR="00000000" w:rsidRDefault="00827839">
      <w:pPr>
        <w:pStyle w:val="a3"/>
        <w:spacing w:before="0" w:beforeAutospacing="0" w:after="0" w:afterAutospacing="0"/>
        <w:jc w:val="both"/>
        <w:rPr>
          <w:b/>
          <w:bCs/>
        </w:rPr>
      </w:pPr>
      <w:r>
        <w:rPr>
          <w:b/>
          <w:bCs/>
        </w:rPr>
        <w:t> </w:t>
      </w:r>
    </w:p>
    <w:p w:rsidR="00000000" w:rsidRDefault="00827839">
      <w:pPr>
        <w:pStyle w:val="a3"/>
        <w:spacing w:before="0" w:beforeAutospacing="0" w:after="0" w:afterAutospacing="0"/>
        <w:jc w:val="both"/>
        <w:rPr>
          <w:b/>
          <w:bCs/>
          <w:color w:val="000000"/>
          <w:sz w:val="20"/>
          <w:szCs w:val="20"/>
        </w:rPr>
      </w:pPr>
      <w:r>
        <w:rPr>
          <w:b/>
          <w:bCs/>
          <w:color w:val="000000"/>
          <w:sz w:val="20"/>
          <w:szCs w:val="20"/>
        </w:rPr>
        <w:t xml:space="preserve">Summary Compensation Table </w:t>
      </w:r>
    </w:p>
    <w:p w:rsidR="00000000" w:rsidRDefault="00827839">
      <w:pPr>
        <w:pStyle w:val="a3"/>
        <w:spacing w:before="0" w:beforeAutospacing="0" w:after="0" w:afterAutospacing="0"/>
        <w:jc w:val="both"/>
        <w:rPr>
          <w:b/>
          <w:bCs/>
          <w:sz w:val="12"/>
          <w:szCs w:val="12"/>
        </w:rPr>
      </w:pPr>
      <w:r>
        <w:rPr>
          <w:b/>
          <w:bCs/>
          <w:sz w:val="12"/>
          <w:szCs w:val="12"/>
        </w:rPr>
        <w:t> </w:t>
      </w:r>
    </w:p>
    <w:p w:rsidR="00000000" w:rsidRDefault="00827839">
      <w:pPr>
        <w:pStyle w:val="a3"/>
        <w:spacing w:before="0" w:beforeAutospacing="0" w:after="0" w:afterAutospacing="0"/>
        <w:ind w:firstLine="556"/>
        <w:jc w:val="both"/>
        <w:rPr>
          <w:color w:val="000000"/>
          <w:sz w:val="20"/>
          <w:szCs w:val="20"/>
        </w:rPr>
      </w:pPr>
      <w:r>
        <w:rPr>
          <w:color w:val="000000"/>
          <w:sz w:val="20"/>
          <w:szCs w:val="20"/>
        </w:rPr>
        <w:t>The following table sets forth certain information</w:t>
      </w:r>
      <w:r>
        <w:rPr>
          <w:color w:val="000000"/>
          <w:sz w:val="20"/>
          <w:szCs w:val="20"/>
        </w:rPr>
        <w:t xml:space="preserve"> concerning the compensation of each named executive officer during the fiscal years ended September 28, 2019, September 29, 2018 and September 30, 2017:</w:t>
      </w:r>
    </w:p>
    <w:p w:rsidR="00000000" w:rsidRDefault="0082783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68"/>
        <w:gridCol w:w="55"/>
        <w:gridCol w:w="335"/>
        <w:gridCol w:w="55"/>
        <w:gridCol w:w="95"/>
        <w:gridCol w:w="535"/>
        <w:gridCol w:w="65"/>
        <w:gridCol w:w="55"/>
        <w:gridCol w:w="95"/>
        <w:gridCol w:w="535"/>
        <w:gridCol w:w="55"/>
        <w:gridCol w:w="55"/>
        <w:gridCol w:w="95"/>
        <w:gridCol w:w="655"/>
        <w:gridCol w:w="55"/>
        <w:gridCol w:w="55"/>
        <w:gridCol w:w="151"/>
        <w:gridCol w:w="775"/>
        <w:gridCol w:w="55"/>
        <w:gridCol w:w="55"/>
        <w:gridCol w:w="124"/>
        <w:gridCol w:w="632"/>
        <w:gridCol w:w="55"/>
        <w:gridCol w:w="55"/>
        <w:gridCol w:w="151"/>
        <w:gridCol w:w="775"/>
        <w:gridCol w:w="55"/>
        <w:gridCol w:w="55"/>
        <w:gridCol w:w="95"/>
        <w:gridCol w:w="655"/>
        <w:gridCol w:w="55"/>
      </w:tblGrid>
      <w:tr w:rsidR="00000000">
        <w:trPr>
          <w:divId w:val="689721467"/>
        </w:trPr>
        <w:tc>
          <w:tcPr>
            <w:tcW w:w="1696"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Name</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Year</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30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Salary</w:t>
            </w:r>
            <w:r>
              <w:rPr>
                <w:rFonts w:ascii="Calibri" w:hAnsi="Calibri" w:cs="Calibri"/>
                <w:b/>
                <w:bCs/>
                <w:color w:val="000000"/>
                <w:sz w:val="12"/>
                <w:szCs w:val="12"/>
              </w:rPr>
              <w:t> </w:t>
            </w:r>
            <w:r>
              <w:rPr>
                <w:b/>
                <w:bCs/>
                <w:color w:val="000000"/>
                <w:sz w:val="12"/>
                <w:szCs w:val="12"/>
              </w:rPr>
              <w:t>(1)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30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Bonus (2)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2"/>
                <w:szCs w:val="12"/>
              </w:rPr>
            </w:pPr>
            <w:r>
              <w:rPr>
                <w:b/>
                <w:bCs/>
                <w:color w:val="000000"/>
                <w:sz w:val="12"/>
                <w:szCs w:val="12"/>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30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Unit Awards (3)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2"/>
                <w:szCs w:val="12"/>
              </w:rPr>
            </w:pPr>
            <w:r>
              <w:rPr>
                <w:b/>
                <w:bCs/>
                <w:color w:val="000000"/>
                <w:sz w:val="12"/>
                <w:szCs w:val="12"/>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30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Non-Equity</w:t>
            </w:r>
          </w:p>
          <w:p w:rsidR="00000000" w:rsidRDefault="00827839">
            <w:pPr>
              <w:pStyle w:val="a3"/>
              <w:spacing w:before="0" w:beforeAutospacing="0" w:after="0" w:afterAutospacing="0"/>
              <w:jc w:val="center"/>
              <w:rPr>
                <w:b/>
                <w:bCs/>
                <w:color w:val="000000"/>
                <w:sz w:val="12"/>
                <w:szCs w:val="12"/>
              </w:rPr>
            </w:pPr>
            <w:r>
              <w:rPr>
                <w:b/>
                <w:bCs/>
                <w:color w:val="000000"/>
                <w:sz w:val="12"/>
                <w:szCs w:val="12"/>
              </w:rPr>
              <w:t>Incentive Plan Compensation (4)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2"/>
                <w:szCs w:val="12"/>
              </w:rPr>
            </w:pPr>
            <w:r>
              <w:rPr>
                <w:b/>
                <w:bCs/>
                <w:color w:val="000000"/>
                <w:sz w:val="12"/>
                <w:szCs w:val="12"/>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30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Change in</w:t>
            </w:r>
          </w:p>
          <w:p w:rsidR="00000000" w:rsidRDefault="00827839">
            <w:pPr>
              <w:pStyle w:val="a3"/>
              <w:spacing w:before="0" w:beforeAutospacing="0" w:after="0" w:afterAutospacing="0"/>
              <w:jc w:val="center"/>
              <w:rPr>
                <w:b/>
                <w:bCs/>
                <w:color w:val="000000"/>
                <w:sz w:val="12"/>
                <w:szCs w:val="12"/>
              </w:rPr>
            </w:pPr>
            <w:r>
              <w:rPr>
                <w:b/>
                <w:bCs/>
                <w:color w:val="000000"/>
                <w:sz w:val="12"/>
                <w:szCs w:val="12"/>
              </w:rPr>
              <w:t>Pension Value</w:t>
            </w:r>
          </w:p>
          <w:p w:rsidR="00000000" w:rsidRDefault="00827839">
            <w:pPr>
              <w:pStyle w:val="a3"/>
              <w:spacing w:before="0" w:beforeAutospacing="0" w:after="0" w:afterAutospacing="0"/>
              <w:jc w:val="center"/>
              <w:rPr>
                <w:b/>
                <w:bCs/>
                <w:color w:val="000000"/>
                <w:sz w:val="12"/>
                <w:szCs w:val="12"/>
              </w:rPr>
            </w:pPr>
            <w:r>
              <w:rPr>
                <w:b/>
                <w:bCs/>
                <w:color w:val="000000"/>
                <w:sz w:val="12"/>
                <w:szCs w:val="12"/>
              </w:rPr>
              <w:t>and</w:t>
            </w:r>
          </w:p>
          <w:p w:rsidR="00000000" w:rsidRDefault="00827839">
            <w:pPr>
              <w:pStyle w:val="a3"/>
              <w:spacing w:before="0" w:beforeAutospacing="0" w:after="0" w:afterAutospacing="0"/>
              <w:jc w:val="center"/>
              <w:rPr>
                <w:b/>
                <w:bCs/>
                <w:color w:val="000000"/>
                <w:sz w:val="12"/>
                <w:szCs w:val="12"/>
              </w:rPr>
            </w:pPr>
            <w:r>
              <w:rPr>
                <w:b/>
                <w:bCs/>
                <w:color w:val="000000"/>
                <w:sz w:val="12"/>
                <w:szCs w:val="12"/>
              </w:rPr>
              <w:t>Nonqualified Deferred Compensation Earnings (5)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2"/>
                <w:szCs w:val="12"/>
              </w:rPr>
            </w:pPr>
            <w:r>
              <w:rPr>
                <w:b/>
                <w:bCs/>
                <w:color w:val="000000"/>
                <w:sz w:val="12"/>
                <w:szCs w:val="12"/>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30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All Other Compensation (6)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2"/>
                <w:szCs w:val="12"/>
              </w:rPr>
            </w:pPr>
            <w:r>
              <w:rPr>
                <w:b/>
                <w:bCs/>
                <w:color w:val="000000"/>
                <w:sz w:val="12"/>
                <w:szCs w:val="12"/>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30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2"/>
                <w:szCs w:val="12"/>
              </w:rPr>
            </w:pPr>
            <w:r>
              <w:rPr>
                <w:b/>
                <w:bCs/>
                <w:color w:val="000000"/>
                <w:sz w:val="12"/>
                <w:szCs w:val="12"/>
              </w:rPr>
              <w:t>Total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2"/>
                <w:szCs w:val="12"/>
              </w:rPr>
            </w:pPr>
            <w:r>
              <w:rPr>
                <w:b/>
                <w:bCs/>
                <w:color w:val="000000"/>
                <w:sz w:val="12"/>
                <w:szCs w:val="12"/>
              </w:rPr>
              <w:t> </w:t>
            </w:r>
          </w:p>
        </w:tc>
      </w:tr>
      <w:tr w:rsidR="00000000">
        <w:trPr>
          <w:divId w:val="689721467"/>
        </w:trPr>
        <w:tc>
          <w:tcPr>
            <w:tcW w:w="1696"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(a)</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(b)</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7"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(c)</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7"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(d)</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7"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(e)</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7"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(g)</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7"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(h)</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7"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(i)</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7"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(j)</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Michael A. Stivala</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2019</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550,000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1,228,007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708,322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53,111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2,539,440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President and Chief Executive Officer</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2018</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550,000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1,112,369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758,438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57,777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2,478,584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2017</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500,000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150,000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995,193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135,570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51,594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1,832,357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Michael A. Kuglin</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2019</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365,000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704,002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394,245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51,127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1,514,374</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Chief Financial Officer and</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2018</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365,000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699,628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417,934</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50,287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1,532,849</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Chief Accounting Officer</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2017</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330,000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79,200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593,272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80,571</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44,924</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1,127,967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Steven C. Boyd</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2019</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365,000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704,002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390,101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53,528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43,890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1,556,521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Chief Operating Officer</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2018</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365,000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699,628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411,199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46,674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1,522,501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2017</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330,000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79,200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506,849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72,749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1,742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42,384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1,032,924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Douglas Brinkworth</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2019</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335,000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668,546</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363,843</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29,507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52,212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1,449,108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Senior Vice President:</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2018</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335,000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665,197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382,815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54,897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1,437,909</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Product Supply, Purchasing and Logistics</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2017</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310,000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74,400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496,272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72,749</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1,791</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51,048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1,006,260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Paul Abel</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2019</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325,000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761,842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362,608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29,202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1,478,652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Senior Vice President, General</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2018</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325,000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622,176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369,722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43,820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1,360,718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689721467"/>
        </w:trPr>
        <w:tc>
          <w:tcPr>
            <w:tcW w:w="169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Counsel and Secretary</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5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2017</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300,000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67,500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481,076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69,542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41,042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5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6"/>
                <w:szCs w:val="16"/>
              </w:rPr>
            </w:pPr>
            <w:r>
              <w:rPr>
                <w:color w:val="000000"/>
                <w:sz w:val="16"/>
                <w:szCs w:val="16"/>
              </w:rPr>
              <w:t>959,160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50767086"/>
        </w:trPr>
        <w:tc>
          <w:tcPr>
            <w:tcW w:w="227" w:type="pct"/>
            <w:noWrap/>
            <w:hideMark/>
          </w:tcPr>
          <w:p w:rsidR="00000000" w:rsidRDefault="00827839">
            <w:pPr>
              <w:pStyle w:val="a3"/>
              <w:spacing w:before="0" w:beforeAutospacing="0" w:after="0" w:afterAutospacing="0"/>
              <w:jc w:val="both"/>
              <w:rPr>
                <w:color w:val="000000"/>
                <w:sz w:val="16"/>
                <w:szCs w:val="16"/>
              </w:rPr>
            </w:pPr>
            <w:r>
              <w:rPr>
                <w:color w:val="000000"/>
                <w:sz w:val="16"/>
                <w:szCs w:val="16"/>
              </w:rPr>
              <w:t>(1)</w:t>
            </w:r>
          </w:p>
        </w:tc>
        <w:tc>
          <w:tcPr>
            <w:tcW w:w="0" w:type="auto"/>
            <w:hideMark/>
          </w:tcPr>
          <w:p w:rsidR="00000000" w:rsidRDefault="00827839">
            <w:pPr>
              <w:pStyle w:val="a3"/>
              <w:spacing w:before="0" w:beforeAutospacing="0" w:after="0" w:afterAutospacing="0"/>
              <w:jc w:val="both"/>
              <w:rPr>
                <w:color w:val="000000"/>
                <w:sz w:val="16"/>
                <w:szCs w:val="16"/>
              </w:rPr>
            </w:pPr>
            <w:r>
              <w:rPr>
                <w:color w:val="000000"/>
                <w:sz w:val="16"/>
                <w:szCs w:val="16"/>
              </w:rPr>
              <w:t>Includes amounts deferred by named executive officers as contributions to the 401(k) Plan.  For more information on the relationship between salaries and other cash compensation (i.e., annual cash bon</w:t>
            </w:r>
            <w:r>
              <w:rPr>
                <w:color w:val="000000"/>
                <w:sz w:val="16"/>
                <w:szCs w:val="16"/>
              </w:rPr>
              <w:t>uses, LTIP awards, and DER Plan payments), refer to the subheading titled “Components of Compensation” in the “Compensation Discussion and Analysis” above.  </w:t>
            </w:r>
          </w:p>
        </w:tc>
      </w:tr>
    </w:tbl>
    <w:p w:rsidR="00000000" w:rsidRDefault="00827839">
      <w:pPr>
        <w:pStyle w:val="a3"/>
        <w:spacing w:before="0" w:beforeAutospacing="0" w:after="0" w:afterAutospacing="0"/>
        <w:ind w:left="357" w:hanging="408"/>
        <w:jc w:val="both"/>
        <w:rPr>
          <w:sz w:val="12"/>
          <w:szCs w:val="12"/>
        </w:rPr>
      </w:pPr>
      <w:r>
        <w:rPr>
          <w:sz w:val="12"/>
          <w:szCs w:val="12"/>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68</w:t>
      </w:r>
    </w:p>
    <w:p w:rsidR="00000000" w:rsidRDefault="00827839">
      <w:pPr>
        <w:rPr>
          <w:rFonts w:eastAsia="Times New Roman"/>
        </w:rPr>
      </w:pPr>
      <w:r>
        <w:rPr>
          <w:rFonts w:eastAsia="Times New Roman"/>
        </w:rPr>
        <w:pict>
          <v:rect id="_x0000_i109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05811349"/>
        </w:trPr>
        <w:tc>
          <w:tcPr>
            <w:tcW w:w="227" w:type="pct"/>
            <w:noWrap/>
            <w:hideMark/>
          </w:tcPr>
          <w:p w:rsidR="00000000" w:rsidRDefault="00827839">
            <w:pPr>
              <w:pStyle w:val="a3"/>
              <w:spacing w:before="0" w:beforeAutospacing="0" w:after="0" w:afterAutospacing="0"/>
              <w:jc w:val="both"/>
              <w:rPr>
                <w:color w:val="000000"/>
                <w:sz w:val="16"/>
                <w:szCs w:val="16"/>
              </w:rPr>
            </w:pPr>
            <w:r>
              <w:rPr>
                <w:color w:val="000000"/>
                <w:sz w:val="16"/>
                <w:szCs w:val="16"/>
              </w:rPr>
              <w:t>(2)</w:t>
            </w:r>
          </w:p>
        </w:tc>
        <w:tc>
          <w:tcPr>
            <w:tcW w:w="0" w:type="auto"/>
            <w:hideMark/>
          </w:tcPr>
          <w:p w:rsidR="00000000" w:rsidRDefault="00827839">
            <w:pPr>
              <w:pStyle w:val="a3"/>
              <w:spacing w:before="0" w:beforeAutospacing="0" w:after="0" w:afterAutospacing="0"/>
              <w:jc w:val="both"/>
              <w:rPr>
                <w:color w:val="000000"/>
                <w:sz w:val="16"/>
                <w:szCs w:val="16"/>
              </w:rPr>
            </w:pPr>
            <w:r>
              <w:rPr>
                <w:color w:val="000000"/>
                <w:sz w:val="16"/>
                <w:szCs w:val="16"/>
              </w:rPr>
              <w:t>This column is reserved for discretionary cash bonuses that are not based on any performance criteria. For fiscal 2017, the Committee provided each of our n</w:t>
            </w:r>
            <w:r>
              <w:rPr>
                <w:color w:val="000000"/>
                <w:sz w:val="16"/>
                <w:szCs w:val="16"/>
              </w:rPr>
              <w:t>amed executive officers with discretionary bonus payments equal to 30% of their respective cash bonus targets in recognition of the operational and financial achievements in fiscal 2017 compared to the prior year.  During fiscal years 2019 and 2018, the Co</w:t>
            </w:r>
            <w:r>
              <w:rPr>
                <w:color w:val="000000"/>
                <w:sz w:val="16"/>
                <w:szCs w:val="16"/>
              </w:rPr>
              <w:t>mmittee did not provide our named executive officers with non-performance related bonus payments.  For more information, refer to the subheading titled “Annual Cash Bonus Plan” in the “Compensation Discussion and Analysis” above.</w:t>
            </w:r>
          </w:p>
        </w:tc>
      </w:tr>
    </w:tbl>
    <w:p w:rsidR="00000000" w:rsidRDefault="00827839">
      <w:pPr>
        <w:pStyle w:val="a3"/>
        <w:spacing w:before="0" w:beforeAutospacing="0" w:after="0" w:afterAutospacing="0"/>
        <w:ind w:left="357" w:hanging="408"/>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68187830"/>
        </w:trPr>
        <w:tc>
          <w:tcPr>
            <w:tcW w:w="227" w:type="pct"/>
            <w:noWrap/>
            <w:hideMark/>
          </w:tcPr>
          <w:p w:rsidR="00000000" w:rsidRDefault="00827839">
            <w:pPr>
              <w:pStyle w:val="a3"/>
              <w:spacing w:before="0" w:beforeAutospacing="0" w:after="0" w:afterAutospacing="0"/>
              <w:jc w:val="both"/>
              <w:rPr>
                <w:color w:val="000000"/>
                <w:sz w:val="16"/>
                <w:szCs w:val="16"/>
              </w:rPr>
            </w:pPr>
            <w:r>
              <w:rPr>
                <w:color w:val="000000"/>
                <w:sz w:val="16"/>
                <w:szCs w:val="16"/>
              </w:rPr>
              <w:t>(3)</w:t>
            </w:r>
          </w:p>
        </w:tc>
        <w:tc>
          <w:tcPr>
            <w:tcW w:w="0" w:type="auto"/>
            <w:hideMark/>
          </w:tcPr>
          <w:p w:rsidR="00000000" w:rsidRDefault="00827839">
            <w:pPr>
              <w:pStyle w:val="a3"/>
              <w:spacing w:before="0" w:beforeAutospacing="0" w:after="0" w:afterAutospacing="0"/>
              <w:jc w:val="both"/>
              <w:rPr>
                <w:color w:val="000000"/>
                <w:sz w:val="16"/>
                <w:szCs w:val="16"/>
              </w:rPr>
            </w:pPr>
            <w:r>
              <w:rPr>
                <w:color w:val="000000"/>
                <w:sz w:val="16"/>
                <w:szCs w:val="16"/>
              </w:rPr>
              <w:t>The amounts reporte</w:t>
            </w:r>
            <w:r>
              <w:rPr>
                <w:color w:val="000000"/>
                <w:sz w:val="16"/>
                <w:szCs w:val="16"/>
              </w:rPr>
              <w:t>d in this column represent the aggregate grant date fair value, computed in accordance with ASC Topic 718, of restricted unit awards made during fiscal years 2019, 2018 and 2017, as well as the aggregate grant date fair value of awards made in fiscal years</w:t>
            </w:r>
            <w:r>
              <w:rPr>
                <w:color w:val="000000"/>
                <w:sz w:val="16"/>
                <w:szCs w:val="16"/>
              </w:rPr>
              <w:t xml:space="preserve"> 2019, 2018, and 2017 under the LTIP, based on the target outcome with respect to satisfaction of the performance conditions.  These amounts were calculated in accordance with GAAP for financial reporting purposes based on the assumptions described in Note</w:t>
            </w:r>
            <w:r>
              <w:rPr>
                <w:color w:val="000000"/>
                <w:sz w:val="16"/>
                <w:szCs w:val="16"/>
              </w:rPr>
              <w:t xml:space="preserve"> 10 of the Notes to Consolidated Financial Statements included in this Annual Report, but disregarding estimates of forfeiture.  For the LTIP awards granted in fiscal 2019, assuming the highest level of performance conditions were achieved, the amounts for</w:t>
            </w:r>
            <w:r>
              <w:rPr>
                <w:color w:val="000000"/>
                <w:sz w:val="16"/>
                <w:szCs w:val="16"/>
              </w:rPr>
              <w:t xml:space="preserve"> Messrs. Stivala, Kuglin, Boyd, Brinkworth, and Abel would be $541,322, $287,396, $287,396, $263,770, and $255,901, respectively.  Because the amounts of actual LTIP payments are predicated on the satisfaction of performance conditions, these amounts are n</w:t>
            </w:r>
            <w:r>
              <w:rPr>
                <w:color w:val="000000"/>
                <w:sz w:val="16"/>
                <w:szCs w:val="16"/>
              </w:rPr>
              <w:t>ot indicative of payments received by our named executive officers under the LTIP.  The actual payments earned by our named executive officers for the 2017 LTIP awards (the measurement period of which concluded at the end of fiscal 2019) are reported in th</w:t>
            </w:r>
            <w:r>
              <w:rPr>
                <w:color w:val="000000"/>
                <w:sz w:val="16"/>
                <w:szCs w:val="16"/>
              </w:rPr>
              <w:t>e “Equity Vested Table for 2019” below.  The specific details regarding these plans are provided in the preceding “Compensation Discussion and Analysis” under the subheadings “Restricted Unit Plan” and “Long-Term Incentive Plan.”  The breakdown for each pl</w:t>
            </w:r>
            <w:r>
              <w:rPr>
                <w:color w:val="000000"/>
                <w:sz w:val="16"/>
                <w:szCs w:val="16"/>
              </w:rPr>
              <w:t>an with respect to each named executive officer is as follows:</w:t>
            </w:r>
          </w:p>
        </w:tc>
      </w:tr>
    </w:tbl>
    <w:p w:rsidR="00000000" w:rsidRDefault="00827839">
      <w:pPr>
        <w:pStyle w:val="a3"/>
        <w:spacing w:before="0" w:beforeAutospacing="0" w:after="0" w:afterAutospacing="0"/>
        <w:ind w:left="357" w:hanging="40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65"/>
        <w:gridCol w:w="134"/>
        <w:gridCol w:w="95"/>
        <w:gridCol w:w="1099"/>
        <w:gridCol w:w="79"/>
        <w:gridCol w:w="134"/>
        <w:gridCol w:w="95"/>
        <w:gridCol w:w="1099"/>
        <w:gridCol w:w="79"/>
        <w:gridCol w:w="134"/>
        <w:gridCol w:w="95"/>
        <w:gridCol w:w="1099"/>
        <w:gridCol w:w="79"/>
        <w:gridCol w:w="134"/>
        <w:gridCol w:w="96"/>
        <w:gridCol w:w="1100"/>
        <w:gridCol w:w="80"/>
        <w:gridCol w:w="135"/>
        <w:gridCol w:w="95"/>
        <w:gridCol w:w="1100"/>
        <w:gridCol w:w="80"/>
      </w:tblGrid>
      <w:tr w:rsidR="00000000">
        <w:trPr>
          <w:divId w:val="1400444460"/>
        </w:trPr>
        <w:tc>
          <w:tcPr>
            <w:tcW w:w="76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Plan Name</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Stivala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Kuglin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Boyd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Brinkworth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Abel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00444460"/>
        </w:trPr>
        <w:tc>
          <w:tcPr>
            <w:tcW w:w="763"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RUP</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867,125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512,404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512,404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492,700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591,241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LTIP</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360,882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191,598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191,598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175,846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170,601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1,228,007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704,002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704,002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668,546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761,842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RUP</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756,866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510,889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510,889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491,971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454,117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LTIP</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355,503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188,739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188,739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173,226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168,059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1,112,369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699,628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699,628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665,197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622,176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RUP</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664,690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418,768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332,345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332,345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332,345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LTIP</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330,503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174,504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174,504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163,927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148,731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400444460"/>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995,193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593,272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506,849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496,272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481,076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left="357" w:hanging="40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59743257"/>
        </w:trPr>
        <w:tc>
          <w:tcPr>
            <w:tcW w:w="227" w:type="pct"/>
            <w:noWrap/>
            <w:hideMark/>
          </w:tcPr>
          <w:p w:rsidR="00000000" w:rsidRDefault="00827839">
            <w:pPr>
              <w:pStyle w:val="a3"/>
              <w:spacing w:before="0" w:beforeAutospacing="0" w:after="0" w:afterAutospacing="0"/>
              <w:jc w:val="both"/>
              <w:rPr>
                <w:color w:val="000000"/>
                <w:sz w:val="16"/>
                <w:szCs w:val="16"/>
              </w:rPr>
            </w:pPr>
            <w:r>
              <w:rPr>
                <w:color w:val="000000"/>
                <w:sz w:val="16"/>
                <w:szCs w:val="16"/>
              </w:rPr>
              <w:t>(4)</w:t>
            </w:r>
          </w:p>
        </w:tc>
        <w:tc>
          <w:tcPr>
            <w:tcW w:w="0" w:type="auto"/>
            <w:hideMark/>
          </w:tcPr>
          <w:p w:rsidR="00000000" w:rsidRDefault="00827839">
            <w:pPr>
              <w:pStyle w:val="a3"/>
              <w:spacing w:before="0" w:beforeAutospacing="0" w:after="0" w:afterAutospacing="0"/>
              <w:jc w:val="both"/>
              <w:rPr>
                <w:color w:val="000000"/>
                <w:sz w:val="16"/>
                <w:szCs w:val="16"/>
              </w:rPr>
            </w:pPr>
            <w:r>
              <w:rPr>
                <w:color w:val="000000"/>
                <w:sz w:val="16"/>
                <w:szCs w:val="16"/>
              </w:rPr>
              <w:t>For fiscal 2017, the amounts reported in this column represent each named executive officer's DER Plan payments received during fiscal 2017.  No annual cash bonus was earned for fiscal 2017 under the annual cash bonus plan.  The DER Plan is discussed under</w:t>
            </w:r>
            <w:r>
              <w:rPr>
                <w:color w:val="000000"/>
                <w:sz w:val="16"/>
                <w:szCs w:val="16"/>
              </w:rPr>
              <w:t xml:space="preserve"> the subheading “Distribution Equivalent Rights Plan” in the “Compensation Discussion and Analysis.”  The fiscal 2019 and fiscal 2018 breakdowns of each named executive officer’s earnings under the annual cash bonus plan and the DER Plan are presented in t</w:t>
            </w:r>
            <w:r>
              <w:rPr>
                <w:color w:val="000000"/>
                <w:sz w:val="16"/>
                <w:szCs w:val="16"/>
              </w:rPr>
              <w:t>he table that follows. For more information regarding the performance measures of the annual cash bonus plan, please refer to the subheading titled “Annual Cash Bonus Plan” in the “Compensation Discussion and Analysis.”  </w:t>
            </w:r>
          </w:p>
        </w:tc>
      </w:tr>
    </w:tbl>
    <w:p w:rsidR="00000000" w:rsidRDefault="00827839">
      <w:pPr>
        <w:pStyle w:val="a3"/>
        <w:spacing w:before="0" w:beforeAutospacing="0" w:after="0" w:afterAutospacing="0"/>
        <w:ind w:left="47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65"/>
        <w:gridCol w:w="134"/>
        <w:gridCol w:w="95"/>
        <w:gridCol w:w="1099"/>
        <w:gridCol w:w="79"/>
        <w:gridCol w:w="134"/>
        <w:gridCol w:w="95"/>
        <w:gridCol w:w="1099"/>
        <w:gridCol w:w="79"/>
        <w:gridCol w:w="134"/>
        <w:gridCol w:w="95"/>
        <w:gridCol w:w="1099"/>
        <w:gridCol w:w="79"/>
        <w:gridCol w:w="134"/>
        <w:gridCol w:w="96"/>
        <w:gridCol w:w="1100"/>
        <w:gridCol w:w="80"/>
        <w:gridCol w:w="135"/>
        <w:gridCol w:w="95"/>
        <w:gridCol w:w="1100"/>
        <w:gridCol w:w="80"/>
      </w:tblGrid>
      <w:tr w:rsidR="00000000">
        <w:trPr>
          <w:divId w:val="1191454953"/>
        </w:trPr>
        <w:tc>
          <w:tcPr>
            <w:tcW w:w="76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Stivala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Kug</w:t>
            </w:r>
            <w:r>
              <w:rPr>
                <w:b/>
                <w:bCs/>
                <w:color w:val="000000"/>
                <w:sz w:val="16"/>
                <w:szCs w:val="16"/>
              </w:rPr>
              <w:t>lin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Boyd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Brinkworth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Abel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191454953"/>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Annual Cash Bonus</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517,000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274,480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274,480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251,920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244,400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191454953"/>
        </w:trPr>
        <w:tc>
          <w:tcPr>
            <w:tcW w:w="7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DER Payments</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191,322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119,765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115,621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111,923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118,208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1191454953"/>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708,322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394,245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390,101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363,843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362,608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left="357" w:hanging="40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65"/>
        <w:gridCol w:w="134"/>
        <w:gridCol w:w="95"/>
        <w:gridCol w:w="1099"/>
        <w:gridCol w:w="79"/>
        <w:gridCol w:w="134"/>
        <w:gridCol w:w="95"/>
        <w:gridCol w:w="1099"/>
        <w:gridCol w:w="79"/>
        <w:gridCol w:w="134"/>
        <w:gridCol w:w="95"/>
        <w:gridCol w:w="1099"/>
        <w:gridCol w:w="79"/>
        <w:gridCol w:w="134"/>
        <w:gridCol w:w="96"/>
        <w:gridCol w:w="1100"/>
        <w:gridCol w:w="80"/>
        <w:gridCol w:w="135"/>
        <w:gridCol w:w="95"/>
        <w:gridCol w:w="1100"/>
        <w:gridCol w:w="80"/>
      </w:tblGrid>
      <w:tr w:rsidR="00000000">
        <w:trPr>
          <w:divId w:val="406224473"/>
        </w:trPr>
        <w:tc>
          <w:tcPr>
            <w:tcW w:w="76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Stivala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Kuglin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Boyd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Brinkworth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Abel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406224473"/>
        </w:trPr>
        <w:tc>
          <w:tcPr>
            <w:tcW w:w="763"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Annual Cash Bonus</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610,500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324,120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324,120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297,480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288,600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06224473"/>
        </w:trPr>
        <w:tc>
          <w:tcPr>
            <w:tcW w:w="7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DER Payments</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147,938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93,814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87,079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85,335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6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81,122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06224473"/>
        </w:trPr>
        <w:tc>
          <w:tcPr>
            <w:tcW w:w="7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758,438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417,934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411,199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382,815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66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369,722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left="357" w:hanging="408"/>
        <w:jc w:val="both"/>
        <w:rPr>
          <w:sz w:val="12"/>
          <w:szCs w:val="12"/>
        </w:rPr>
      </w:pPr>
      <w:r>
        <w:rPr>
          <w:sz w:val="12"/>
          <w:szCs w:val="12"/>
        </w:rPr>
        <w:t> </w:t>
      </w:r>
    </w:p>
    <w:p w:rsidR="00000000" w:rsidRDefault="00827839">
      <w:pPr>
        <w:pStyle w:val="a3"/>
        <w:spacing w:before="0" w:beforeAutospacing="0" w:after="0" w:afterAutospacing="0"/>
        <w:ind w:left="357" w:hanging="408"/>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00736939"/>
        </w:trPr>
        <w:tc>
          <w:tcPr>
            <w:tcW w:w="227" w:type="pct"/>
            <w:noWrap/>
            <w:hideMark/>
          </w:tcPr>
          <w:p w:rsidR="00000000" w:rsidRDefault="00827839">
            <w:pPr>
              <w:pStyle w:val="a3"/>
              <w:spacing w:before="0" w:beforeAutospacing="0" w:after="0" w:afterAutospacing="0"/>
              <w:jc w:val="both"/>
              <w:rPr>
                <w:color w:val="000000"/>
                <w:sz w:val="16"/>
                <w:szCs w:val="16"/>
              </w:rPr>
            </w:pPr>
            <w:r>
              <w:rPr>
                <w:color w:val="000000"/>
                <w:sz w:val="16"/>
                <w:szCs w:val="16"/>
              </w:rPr>
              <w:t>(5)</w:t>
            </w:r>
          </w:p>
        </w:tc>
        <w:tc>
          <w:tcPr>
            <w:tcW w:w="0" w:type="auto"/>
            <w:hideMark/>
          </w:tcPr>
          <w:p w:rsidR="00000000" w:rsidRDefault="00827839">
            <w:pPr>
              <w:pStyle w:val="a3"/>
              <w:spacing w:before="0" w:beforeAutospacing="0" w:after="0" w:afterAutospacing="0"/>
              <w:jc w:val="both"/>
              <w:rPr>
                <w:color w:val="000000"/>
                <w:sz w:val="16"/>
                <w:szCs w:val="16"/>
              </w:rPr>
            </w:pPr>
            <w:r>
              <w:rPr>
                <w:color w:val="000000"/>
                <w:sz w:val="16"/>
                <w:szCs w:val="16"/>
              </w:rPr>
              <w:t>Nothing was reported in this column for fiscal 2018 because there was a decline in value of the participating named executive officers’ Cash Balance Plan holdings.  The declines in pension values for fiscal 2018 were as follows:  ($12,346) and ($5,376) for</w:t>
            </w:r>
            <w:r>
              <w:rPr>
                <w:color w:val="000000"/>
                <w:sz w:val="16"/>
                <w:szCs w:val="16"/>
              </w:rPr>
              <w:t xml:space="preserve"> Messrs. Boyd and Brinkworth, respectively.  Mr. Stivala, Mr. Kuglin and Mr. Abel do not participate in the Cash Balance Plan.  </w:t>
            </w:r>
          </w:p>
        </w:tc>
      </w:tr>
    </w:tbl>
    <w:p w:rsidR="00000000" w:rsidRDefault="00827839">
      <w:pPr>
        <w:pStyle w:val="a3"/>
        <w:spacing w:before="0" w:beforeAutospacing="0" w:after="0" w:afterAutospacing="0"/>
        <w:ind w:left="357" w:hanging="408"/>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18828806"/>
        </w:trPr>
        <w:tc>
          <w:tcPr>
            <w:tcW w:w="227" w:type="pct"/>
            <w:noWrap/>
            <w:hideMark/>
          </w:tcPr>
          <w:p w:rsidR="00000000" w:rsidRDefault="00827839">
            <w:pPr>
              <w:pStyle w:val="a3"/>
              <w:spacing w:before="0" w:beforeAutospacing="0" w:after="0" w:afterAutospacing="0"/>
              <w:jc w:val="both"/>
              <w:rPr>
                <w:color w:val="000000"/>
                <w:sz w:val="16"/>
                <w:szCs w:val="16"/>
              </w:rPr>
            </w:pPr>
            <w:r>
              <w:rPr>
                <w:color w:val="000000"/>
                <w:sz w:val="16"/>
                <w:szCs w:val="16"/>
              </w:rPr>
              <w:t>(6)</w:t>
            </w:r>
          </w:p>
        </w:tc>
        <w:tc>
          <w:tcPr>
            <w:tcW w:w="0" w:type="auto"/>
            <w:hideMark/>
          </w:tcPr>
          <w:p w:rsidR="00000000" w:rsidRDefault="00827839">
            <w:pPr>
              <w:pStyle w:val="a3"/>
              <w:spacing w:before="0" w:beforeAutospacing="0" w:after="0" w:afterAutospacing="0"/>
              <w:jc w:val="both"/>
              <w:rPr>
                <w:color w:val="000000"/>
                <w:sz w:val="16"/>
                <w:szCs w:val="16"/>
              </w:rPr>
            </w:pPr>
            <w:r>
              <w:rPr>
                <w:color w:val="000000"/>
                <w:sz w:val="16"/>
                <w:szCs w:val="16"/>
              </w:rPr>
              <w:t>The amounts reported in this column consist of the following:</w:t>
            </w:r>
          </w:p>
        </w:tc>
      </w:tr>
    </w:tbl>
    <w:p w:rsidR="00000000" w:rsidRDefault="0082783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42"/>
        <w:gridCol w:w="79"/>
        <w:gridCol w:w="95"/>
        <w:gridCol w:w="760"/>
        <w:gridCol w:w="62"/>
        <w:gridCol w:w="79"/>
        <w:gridCol w:w="95"/>
        <w:gridCol w:w="760"/>
        <w:gridCol w:w="62"/>
        <w:gridCol w:w="79"/>
        <w:gridCol w:w="95"/>
        <w:gridCol w:w="760"/>
        <w:gridCol w:w="62"/>
        <w:gridCol w:w="79"/>
        <w:gridCol w:w="109"/>
        <w:gridCol w:w="1018"/>
        <w:gridCol w:w="62"/>
        <w:gridCol w:w="79"/>
        <w:gridCol w:w="95"/>
        <w:gridCol w:w="771"/>
        <w:gridCol w:w="63"/>
      </w:tblGrid>
      <w:tr w:rsidR="00000000">
        <w:trPr>
          <w:divId w:val="751900704"/>
        </w:trPr>
        <w:tc>
          <w:tcPr>
            <w:tcW w:w="4950" w:type="pct"/>
            <w:gridSpan w:val="2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51900704"/>
        </w:trPr>
        <w:tc>
          <w:tcPr>
            <w:tcW w:w="1844"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Type of Compensation</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Stivala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Kuglin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Boyd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Brinkworth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Abel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51900704"/>
        </w:trPr>
        <w:tc>
          <w:tcPr>
            <w:tcW w:w="1844"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401(k) Match</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1900704"/>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Value of Annual Physical Examination</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1900704"/>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Value of Partnership Provided Vehicles</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19,783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17,054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7,761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13,670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16,866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1900704"/>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Tax Preparation Services</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3,200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1900704"/>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Cash Balance Plan Administrative Fees</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1900704"/>
        </w:trPr>
        <w:tc>
          <w:tcPr>
            <w:tcW w:w="184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Insurance Premiums</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24,928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22,723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23,467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23,230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9,386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1900704"/>
        </w:trPr>
        <w:tc>
          <w:tcPr>
            <w:tcW w:w="184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53,111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51,127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43,890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52,212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29,202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69</w:t>
      </w:r>
    </w:p>
    <w:p w:rsidR="00000000" w:rsidRDefault="00827839">
      <w:pPr>
        <w:rPr>
          <w:rFonts w:eastAsia="Times New Roman"/>
        </w:rPr>
      </w:pPr>
      <w:r>
        <w:rPr>
          <w:rFonts w:eastAsia="Times New Roman"/>
        </w:rPr>
        <w:pict>
          <v:rect id="_x0000_i109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34"/>
        <w:gridCol w:w="82"/>
        <w:gridCol w:w="95"/>
        <w:gridCol w:w="758"/>
        <w:gridCol w:w="62"/>
        <w:gridCol w:w="82"/>
        <w:gridCol w:w="95"/>
        <w:gridCol w:w="758"/>
        <w:gridCol w:w="62"/>
        <w:gridCol w:w="82"/>
        <w:gridCol w:w="95"/>
        <w:gridCol w:w="758"/>
        <w:gridCol w:w="62"/>
        <w:gridCol w:w="82"/>
        <w:gridCol w:w="109"/>
        <w:gridCol w:w="1018"/>
        <w:gridCol w:w="62"/>
        <w:gridCol w:w="83"/>
        <w:gridCol w:w="95"/>
        <w:gridCol w:w="769"/>
        <w:gridCol w:w="63"/>
      </w:tblGrid>
      <w:tr w:rsidR="00000000">
        <w:trPr>
          <w:divId w:val="754282179"/>
        </w:trPr>
        <w:tc>
          <w:tcPr>
            <w:tcW w:w="4950" w:type="pct"/>
            <w:gridSpan w:val="2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54282179"/>
        </w:trPr>
        <w:tc>
          <w:tcPr>
            <w:tcW w:w="18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Type of Compensation</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Stivala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Kuglin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Boyd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Brinkworth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Abel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754282179"/>
        </w:trPr>
        <w:tc>
          <w:tcPr>
            <w:tcW w:w="1839"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401(k) Match</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8,250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8,250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8,250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8,250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8,250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4282179"/>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Value of Annual Physical Examination</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4282179"/>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Value of Partnership Provided Vehicles</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17,410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16,138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7,772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14,115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19,924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4282179"/>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Tax Preparation Services</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4282179"/>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Cash Balance Plan Administrative Fees</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4282179"/>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Insurance Premiums</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29,167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25,899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25,652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25,082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12,696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754282179"/>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57,777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50,287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46,674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54,897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43,820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firstLine="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34"/>
        <w:gridCol w:w="82"/>
        <w:gridCol w:w="95"/>
        <w:gridCol w:w="758"/>
        <w:gridCol w:w="62"/>
        <w:gridCol w:w="82"/>
        <w:gridCol w:w="95"/>
        <w:gridCol w:w="758"/>
        <w:gridCol w:w="62"/>
        <w:gridCol w:w="82"/>
        <w:gridCol w:w="95"/>
        <w:gridCol w:w="758"/>
        <w:gridCol w:w="62"/>
        <w:gridCol w:w="82"/>
        <w:gridCol w:w="109"/>
        <w:gridCol w:w="1018"/>
        <w:gridCol w:w="62"/>
        <w:gridCol w:w="83"/>
        <w:gridCol w:w="95"/>
        <w:gridCol w:w="769"/>
        <w:gridCol w:w="63"/>
      </w:tblGrid>
      <w:tr w:rsidR="00000000">
        <w:trPr>
          <w:divId w:val="442312628"/>
        </w:trPr>
        <w:tc>
          <w:tcPr>
            <w:tcW w:w="4950" w:type="pct"/>
            <w:gridSpan w:val="2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442312628"/>
        </w:trPr>
        <w:tc>
          <w:tcPr>
            <w:tcW w:w="18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Type of Compensation</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Stivala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Kuglin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Boyd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Brinkworth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Abel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442312628"/>
        </w:trPr>
        <w:tc>
          <w:tcPr>
            <w:tcW w:w="1839"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401(k) Match</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42312628"/>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Value of Annual Physical Examination</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42312628"/>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Value of Partnership Provided Vehicles</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16,561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12,072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7,596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13,580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19,962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42312628"/>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Tax Preparation Services</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42312628"/>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Cash Balance Plan Administrative Fees</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42312628"/>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Insurance Premiums</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23,983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21,802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21,688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21,418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6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10,030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442312628"/>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16"/>
                <w:szCs w:val="16"/>
              </w:rPr>
            </w:pPr>
            <w:r>
              <w:rPr>
                <w:color w:val="000000"/>
                <w:sz w:val="16"/>
                <w:szCs w:val="16"/>
              </w:rPr>
              <w:t>Total</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51,594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44,924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42,384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51,048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46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41,042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jc w:val="both"/>
        <w:rPr>
          <w:color w:val="000000"/>
          <w:sz w:val="16"/>
          <w:szCs w:val="16"/>
        </w:rPr>
      </w:pPr>
      <w:r>
        <w:rPr>
          <w:color w:val="000000"/>
          <w:sz w:val="16"/>
          <w:szCs w:val="16"/>
        </w:rPr>
        <w:t>Note:  Column (f) was omitted from the Summary Compensation Table because we do not grant options to our employees.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70</w:t>
      </w:r>
    </w:p>
    <w:p w:rsidR="00000000" w:rsidRDefault="00827839">
      <w:pPr>
        <w:rPr>
          <w:rFonts w:eastAsia="Times New Roman"/>
        </w:rPr>
      </w:pPr>
      <w:r>
        <w:rPr>
          <w:rFonts w:eastAsia="Times New Roman"/>
        </w:rPr>
        <w:pict>
          <v:rect id="_x0000_i1097"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both"/>
        <w:rPr>
          <w:b/>
          <w:bCs/>
          <w:sz w:val="20"/>
          <w:szCs w:val="20"/>
        </w:rPr>
      </w:pPr>
      <w:r>
        <w:rPr>
          <w:b/>
          <w:bCs/>
          <w:sz w:val="20"/>
          <w:szCs w:val="20"/>
        </w:rPr>
        <w:t>Grants of Plan Based Awards Table for Fiscal 2019</w:t>
      </w:r>
    </w:p>
    <w:p w:rsidR="00000000" w:rsidRDefault="00827839">
      <w:pPr>
        <w:pStyle w:val="a3"/>
        <w:spacing w:before="120" w:beforeAutospacing="0" w:after="0" w:afterAutospacing="0"/>
        <w:ind w:firstLine="556"/>
        <w:jc w:val="both"/>
        <w:rPr>
          <w:sz w:val="20"/>
          <w:szCs w:val="20"/>
        </w:rPr>
      </w:pPr>
      <w:r>
        <w:rPr>
          <w:sz w:val="20"/>
          <w:szCs w:val="20"/>
        </w:rPr>
        <w:t>The following table sets forth certain information concerning grants of awards made to each named executive of</w:t>
      </w:r>
      <w:r>
        <w:rPr>
          <w:sz w:val="20"/>
          <w:szCs w:val="20"/>
        </w:rPr>
        <w:t>ficer during the fiscal year ended September 28, 2019:</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55"/>
        <w:gridCol w:w="651"/>
        <w:gridCol w:w="55"/>
        <w:gridCol w:w="433"/>
        <w:gridCol w:w="55"/>
        <w:gridCol w:w="664"/>
        <w:gridCol w:w="55"/>
        <w:gridCol w:w="134"/>
        <w:gridCol w:w="655"/>
        <w:gridCol w:w="65"/>
        <w:gridCol w:w="55"/>
        <w:gridCol w:w="95"/>
        <w:gridCol w:w="535"/>
        <w:gridCol w:w="65"/>
        <w:gridCol w:w="65"/>
        <w:gridCol w:w="122"/>
        <w:gridCol w:w="606"/>
        <w:gridCol w:w="65"/>
        <w:gridCol w:w="55"/>
        <w:gridCol w:w="95"/>
        <w:gridCol w:w="535"/>
        <w:gridCol w:w="65"/>
        <w:gridCol w:w="65"/>
        <w:gridCol w:w="122"/>
        <w:gridCol w:w="606"/>
        <w:gridCol w:w="65"/>
        <w:gridCol w:w="55"/>
        <w:gridCol w:w="102"/>
        <w:gridCol w:w="500"/>
        <w:gridCol w:w="55"/>
        <w:gridCol w:w="55"/>
        <w:gridCol w:w="131"/>
        <w:gridCol w:w="645"/>
        <w:gridCol w:w="55"/>
      </w:tblGrid>
      <w:tr w:rsidR="00000000">
        <w:trPr>
          <w:divId w:val="1195582323"/>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Plan</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Grant</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Approval</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9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LTIP Units Underlying Equity Incentive Plan Awards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8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Estimated Future Payments Under Non-Equity Incentive Plan Awards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8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Estimated Future Payments Under Equity Incentive Plan Awards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9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All Other Stock Awards: Number of Shares of Stock</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9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Grant Date Fair Value of Stock and Option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827839">
        <w:trPr>
          <w:divId w:val="1195582323"/>
        </w:trPr>
        <w:tc>
          <w:tcPr>
            <w:tcW w:w="1119"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Date</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Date</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(LTIP) (5)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Target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Maximum</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Target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Maximum</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or Units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Awards (6)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827839">
        <w:trPr>
          <w:divId w:val="1195582323"/>
        </w:trPr>
        <w:tc>
          <w:tcPr>
            <w:tcW w:w="111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(a)</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(b)</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tcBorders>
              <w:top w:val="sing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(d)</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(e)</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(g)</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(h)</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(i)</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96"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(l)</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Michael A. Stivala</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RUP (1)</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15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47,793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867,125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Bonus (2)</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550,000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660,000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LTIP (3)</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11,928</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360,882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541,323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DER (4)</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191,322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Michael A. Kuglin</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RUP (1)</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15 Nov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28,242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512,404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Bonus (2)</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right"/>
              <w:rPr>
                <w:color w:val="000000"/>
                <w:sz w:val="16"/>
                <w:szCs w:val="16"/>
              </w:rPr>
            </w:pPr>
            <w:r>
              <w:rPr>
                <w:color w:val="000000"/>
                <w:sz w:val="16"/>
                <w:szCs w:val="16"/>
              </w:rPr>
              <w:t>292,000</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right"/>
              <w:rPr>
                <w:color w:val="000000"/>
                <w:sz w:val="16"/>
                <w:szCs w:val="16"/>
              </w:rPr>
            </w:pPr>
            <w:r>
              <w:rPr>
                <w:color w:val="000000"/>
                <w:sz w:val="16"/>
                <w:szCs w:val="16"/>
              </w:rPr>
              <w:t>350,400</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LTIP (3)</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6,333</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191,598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287,397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DER (4)</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119,765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Steven C. Boyd</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RUP (1)</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15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28,242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512,404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Bonus (2)</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292,000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350,400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LTIP (3)</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6,333</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191,598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287,397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DER (4)</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115,621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Douglas T. Brinkworth</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RUP (1)</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15 Nov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27,156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492,700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Bonus (2)</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268,000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321,600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LTIP (3)</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5,812</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175,846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263,769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DER (4)</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111,923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Paul Abel</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RUP (1)</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15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32,587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591,241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Bonus (2)</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260,000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312,000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LTIP (3)</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30 Sep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13 Nov 18</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16"/>
                <w:szCs w:val="16"/>
              </w:rPr>
            </w:pPr>
            <w:r>
              <w:rPr>
                <w:color w:val="000000"/>
                <w:sz w:val="16"/>
                <w:szCs w:val="16"/>
              </w:rPr>
              <w:t>5,639</w:t>
            </w:r>
          </w:p>
        </w:tc>
        <w:tc>
          <w:tcPr>
            <w:tcW w:w="50" w:type="pct"/>
            <w:shd w:val="clear" w:color="auto" w:fill="CFF0FC"/>
            <w:noWrap/>
            <w:tcMar>
              <w:top w:w="15" w:type="dxa"/>
              <w:left w:w="0" w:type="dxa"/>
              <w:bottom w:w="0" w:type="dxa"/>
              <w:right w:w="15" w:type="dxa"/>
            </w:tcMar>
            <w:vAlign w:val="cente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170,601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255,902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827839">
        <w:trPr>
          <w:divId w:val="1195582323"/>
          <w:trHeight w:val="187"/>
        </w:trPr>
        <w:tc>
          <w:tcPr>
            <w:tcW w:w="111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4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DER (4)</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6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36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17 Jan 17</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6"/>
                <w:szCs w:val="16"/>
              </w:rPr>
            </w:pPr>
            <w:r>
              <w:rPr>
                <w:color w:val="000000"/>
                <w:sz w:val="16"/>
                <w:szCs w:val="16"/>
              </w:rPr>
              <w:t>118,208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4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59481642"/>
        </w:trPr>
        <w:tc>
          <w:tcPr>
            <w:tcW w:w="227" w:type="pct"/>
            <w:noWrap/>
            <w:hideMark/>
          </w:tcPr>
          <w:p w:rsidR="00000000" w:rsidRDefault="00827839">
            <w:pPr>
              <w:pStyle w:val="a3"/>
              <w:spacing w:before="0" w:beforeAutospacing="0" w:after="0" w:afterAutospacing="0"/>
              <w:jc w:val="both"/>
              <w:rPr>
                <w:sz w:val="16"/>
                <w:szCs w:val="16"/>
              </w:rPr>
            </w:pPr>
            <w:r>
              <w:rPr>
                <w:sz w:val="16"/>
                <w:szCs w:val="16"/>
              </w:rPr>
              <w:t>(1)</w:t>
            </w:r>
          </w:p>
        </w:tc>
        <w:tc>
          <w:tcPr>
            <w:tcW w:w="0" w:type="auto"/>
            <w:hideMark/>
          </w:tcPr>
          <w:p w:rsidR="00000000" w:rsidRDefault="00827839">
            <w:pPr>
              <w:pStyle w:val="a3"/>
              <w:spacing w:before="0" w:beforeAutospacing="0" w:after="0" w:afterAutospacing="0"/>
              <w:jc w:val="both"/>
              <w:rPr>
                <w:sz w:val="16"/>
                <w:szCs w:val="16"/>
              </w:rPr>
            </w:pPr>
            <w:r>
              <w:rPr>
                <w:sz w:val="16"/>
                <w:szCs w:val="16"/>
              </w:rPr>
              <w:t>The quantity reported on these lines represents awards granted under the RUP and RUP-2.  RUP and RUP-2 awards vest as follows:  one third of the award on the first anniversary of the grant date, one third of the award on the second</w:t>
            </w:r>
            <w:r>
              <w:rPr>
                <w:sz w:val="16"/>
                <w:szCs w:val="16"/>
              </w:rPr>
              <w:t xml:space="preserve"> anniversary of the grant date, and one third of the award on the third anniversary of the grant date (subject in each case to continued service through each such date).  Under the RUP, if a recipient has held an unvested award for at least six months, is </w:t>
            </w:r>
            <w:r>
              <w:rPr>
                <w:sz w:val="16"/>
                <w:szCs w:val="16"/>
              </w:rPr>
              <w:t>55 years or older, and has worked for the Partnership for at least ten years, an award held by such participant will vest six months and one day following such participant’s retirement if the participant retires prior to the conclusion of the normal vestin</w:t>
            </w:r>
            <w:r>
              <w:rPr>
                <w:sz w:val="16"/>
                <w:szCs w:val="16"/>
              </w:rPr>
              <w:t>g schedule, unless the Committee exercises its authority to alter the applicability of the plan’s retirement provisions in regard to a particular award.  Under RUP-2, the retirement provisions of this plan are identical except that an unvested award must b</w:t>
            </w:r>
            <w:r>
              <w:rPr>
                <w:sz w:val="16"/>
                <w:szCs w:val="16"/>
              </w:rPr>
              <w:t>e held for at least one year prior to retirement. Mr. Boyd, Mr. Brinkworth and Mr. Abel are the only named executive officers who satisfy the age and tenure criteria of the RUP and RUP-2. At the conclusion of fiscal 2019, all of Mr. Boyd’s, Mr. Brinkworth’</w:t>
            </w:r>
            <w:r>
              <w:rPr>
                <w:sz w:val="16"/>
                <w:szCs w:val="16"/>
              </w:rPr>
              <w:t>s and Mr. Abel’s awards were granted under the RUP; therefore, at that time, all of their unvested awards were covered by the retirement provisions of the RUP.  A discussion of the general terms of the RUP and RUP-2, and the facts and circumstances conside</w:t>
            </w:r>
            <w:r>
              <w:rPr>
                <w:sz w:val="16"/>
                <w:szCs w:val="16"/>
              </w:rPr>
              <w:t>red by the Committee in authorizing these fiscal 2019 awards to our named executive officers, is included in the “Compensation Discussion and Analysis” under the subheading “Restricted Unit Plans.”  </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97031992"/>
        </w:trPr>
        <w:tc>
          <w:tcPr>
            <w:tcW w:w="227" w:type="pct"/>
            <w:noWrap/>
            <w:hideMark/>
          </w:tcPr>
          <w:p w:rsidR="00000000" w:rsidRDefault="00827839">
            <w:pPr>
              <w:pStyle w:val="a3"/>
              <w:spacing w:before="0" w:beforeAutospacing="0" w:after="0" w:afterAutospacing="0"/>
              <w:jc w:val="both"/>
              <w:rPr>
                <w:sz w:val="16"/>
                <w:szCs w:val="16"/>
              </w:rPr>
            </w:pPr>
            <w:r>
              <w:rPr>
                <w:sz w:val="16"/>
                <w:szCs w:val="16"/>
              </w:rPr>
              <w:t>(2)</w:t>
            </w:r>
          </w:p>
        </w:tc>
        <w:tc>
          <w:tcPr>
            <w:tcW w:w="0" w:type="auto"/>
            <w:hideMark/>
          </w:tcPr>
          <w:p w:rsidR="00000000" w:rsidRDefault="00827839">
            <w:pPr>
              <w:pStyle w:val="a3"/>
              <w:spacing w:before="0" w:beforeAutospacing="0" w:after="0" w:afterAutospacing="0"/>
              <w:jc w:val="both"/>
              <w:rPr>
                <w:sz w:val="16"/>
                <w:szCs w:val="16"/>
              </w:rPr>
            </w:pPr>
            <w:r>
              <w:rPr>
                <w:sz w:val="16"/>
                <w:szCs w:val="16"/>
              </w:rPr>
              <w:t xml:space="preserve">Amounts reported on these lines are the targeted and maximum annual cash bonus compensation potential for each named executive officer under the annual cash bonus plan as described in the “Compensation Discussion and Analysis” under the subheading “Annual </w:t>
            </w:r>
            <w:r>
              <w:rPr>
                <w:sz w:val="16"/>
                <w:szCs w:val="16"/>
              </w:rPr>
              <w:t>Cash Bonus Plan.”  Actual amounts earned by the named executive officers for fiscal 2019 were equal to 94% of the “Target” amounts reported on this line.  Column (c) (“Threshold $”) was omitted because the annual cash bonus plan does not provide for a guar</w:t>
            </w:r>
            <w:r>
              <w:rPr>
                <w:sz w:val="16"/>
                <w:szCs w:val="16"/>
              </w:rPr>
              <w:t>anteed minimum cash payment.  Because 94% of the “Target” awards were earned by our named executive officers during fiscal 2019, 94% of the “Target” amounts reported under column (d) have been reported in the Summary Compensation Table above.</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84576215"/>
        </w:trPr>
        <w:tc>
          <w:tcPr>
            <w:tcW w:w="227" w:type="pct"/>
            <w:noWrap/>
            <w:hideMark/>
          </w:tcPr>
          <w:p w:rsidR="00000000" w:rsidRDefault="00827839">
            <w:pPr>
              <w:pStyle w:val="a3"/>
              <w:spacing w:before="0" w:beforeAutospacing="0" w:after="0" w:afterAutospacing="0"/>
              <w:jc w:val="both"/>
              <w:rPr>
                <w:sz w:val="16"/>
                <w:szCs w:val="16"/>
              </w:rPr>
            </w:pPr>
            <w:r>
              <w:rPr>
                <w:sz w:val="16"/>
                <w:szCs w:val="16"/>
              </w:rPr>
              <w:t>(3)</w:t>
            </w:r>
          </w:p>
        </w:tc>
        <w:tc>
          <w:tcPr>
            <w:tcW w:w="0" w:type="auto"/>
            <w:hideMark/>
          </w:tcPr>
          <w:p w:rsidR="00000000" w:rsidRDefault="00827839">
            <w:pPr>
              <w:pStyle w:val="a3"/>
              <w:spacing w:before="0" w:beforeAutospacing="0" w:after="0" w:afterAutospacing="0"/>
              <w:jc w:val="both"/>
              <w:rPr>
                <w:sz w:val="16"/>
                <w:szCs w:val="16"/>
              </w:rPr>
            </w:pPr>
            <w:r>
              <w:rPr>
                <w:sz w:val="16"/>
                <w:szCs w:val="16"/>
              </w:rPr>
              <w:t>The LT</w:t>
            </w:r>
            <w:r>
              <w:rPr>
                <w:sz w:val="16"/>
                <w:szCs w:val="16"/>
              </w:rPr>
              <w:t>IP is a phantom unit plan.  Payments, if earned, are based on a combination of (i) the fair market value of our Common Units at the end of a three-year measurement period, which, for purposes of the LTIP, is the average of the closing prices for the twenty</w:t>
            </w:r>
            <w:r>
              <w:rPr>
                <w:sz w:val="16"/>
                <w:szCs w:val="16"/>
              </w:rPr>
              <w:t xml:space="preserve"> business days preceding the conclusion of the three-year measurement period, and (ii) cash equal to the distributions that would have inured to the same quantity of outstanding Common Units during the same three-year measurement period.  The fiscal 2019 a</w:t>
            </w:r>
            <w:r>
              <w:rPr>
                <w:sz w:val="16"/>
                <w:szCs w:val="16"/>
              </w:rPr>
              <w:t>ward “Target” and “Maximum” amounts are estimates based upon (i) the fair market value (the average of the closing prices of our Common Units for the twenty business days preceding September 28, 2018) of our Common Units at the beginning of fiscal 2019, an</w:t>
            </w:r>
            <w:r>
              <w:rPr>
                <w:sz w:val="16"/>
                <w:szCs w:val="16"/>
              </w:rPr>
              <w:t>d (ii) the estimated distributions over the course of the award’s three-year measurement period at the then current annualized distribution rate of $2.40 per Common Unit.  Column (f) (“Threshold”) was omitted because the LTIP does not provide for a guarant</w:t>
            </w:r>
            <w:r>
              <w:rPr>
                <w:sz w:val="16"/>
                <w:szCs w:val="16"/>
              </w:rPr>
              <w:t>eed minimum cash payment.  The “Target” amount represents a hypothetical payment at 100% of target and the “Maximum” amount represents a hypothetical payment at 150% of target.  Detailed descriptions of the plan and the calculation of awards are included i</w:t>
            </w:r>
            <w:r>
              <w:rPr>
                <w:sz w:val="16"/>
                <w:szCs w:val="16"/>
              </w:rPr>
              <w:t>n the “Compensation Discussion and Analysis” under the subheading “Long-Term Incentive Plan.”</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88644562"/>
        </w:trPr>
        <w:tc>
          <w:tcPr>
            <w:tcW w:w="227" w:type="pct"/>
            <w:noWrap/>
            <w:hideMark/>
          </w:tcPr>
          <w:p w:rsidR="00000000" w:rsidRDefault="00827839">
            <w:pPr>
              <w:pStyle w:val="a3"/>
              <w:spacing w:before="0" w:beforeAutospacing="0" w:after="0" w:afterAutospacing="0"/>
              <w:jc w:val="both"/>
              <w:rPr>
                <w:sz w:val="16"/>
                <w:szCs w:val="16"/>
              </w:rPr>
            </w:pPr>
            <w:r>
              <w:rPr>
                <w:sz w:val="16"/>
                <w:szCs w:val="16"/>
              </w:rPr>
              <w:t>(4)</w:t>
            </w:r>
          </w:p>
        </w:tc>
        <w:tc>
          <w:tcPr>
            <w:tcW w:w="0" w:type="auto"/>
            <w:hideMark/>
          </w:tcPr>
          <w:p w:rsidR="00000000" w:rsidRDefault="00827839">
            <w:pPr>
              <w:pStyle w:val="a3"/>
              <w:spacing w:before="0" w:beforeAutospacing="0" w:after="0" w:afterAutospacing="0"/>
              <w:jc w:val="both"/>
              <w:rPr>
                <w:sz w:val="16"/>
                <w:szCs w:val="16"/>
              </w:rPr>
            </w:pPr>
            <w:r>
              <w:rPr>
                <w:sz w:val="16"/>
                <w:szCs w:val="16"/>
              </w:rPr>
              <w:t xml:space="preserve">Amounts reported on these lines represent DER Plan payments made during the fiscal year.  Detailed descriptions of the DER Plan and the calculation of the </w:t>
            </w:r>
            <w:r>
              <w:rPr>
                <w:sz w:val="16"/>
                <w:szCs w:val="16"/>
              </w:rPr>
              <w:t>payments are included in the “Compensation Discussion and Analysis” under the subheading “Distribution Equivalent Rights Plan.”</w:t>
            </w:r>
          </w:p>
        </w:tc>
      </w:tr>
    </w:tbl>
    <w:p w:rsidR="00000000" w:rsidRDefault="00827839">
      <w:pPr>
        <w:pStyle w:val="a3"/>
        <w:spacing w:before="0" w:beforeAutospacing="0" w:after="0" w:afterAutospacing="0"/>
        <w:ind w:left="476" w:hanging="556"/>
        <w:jc w:val="both"/>
        <w:rPr>
          <w:sz w:val="12"/>
          <w:szCs w:val="12"/>
        </w:rPr>
      </w:pPr>
      <w:r>
        <w:rPr>
          <w:sz w:val="12"/>
          <w:szCs w:val="12"/>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71</w:t>
      </w:r>
    </w:p>
    <w:p w:rsidR="00000000" w:rsidRDefault="00827839">
      <w:pPr>
        <w:rPr>
          <w:rFonts w:eastAsia="Times New Roman"/>
        </w:rPr>
      </w:pPr>
      <w:r>
        <w:rPr>
          <w:rFonts w:eastAsia="Times New Roman"/>
        </w:rPr>
        <w:pict>
          <v:rect id="_x0000_i109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00147287"/>
        </w:trPr>
        <w:tc>
          <w:tcPr>
            <w:tcW w:w="227" w:type="pct"/>
            <w:noWrap/>
            <w:hideMark/>
          </w:tcPr>
          <w:p w:rsidR="00000000" w:rsidRDefault="00827839">
            <w:pPr>
              <w:pStyle w:val="a3"/>
              <w:spacing w:before="0" w:beforeAutospacing="0" w:after="0" w:afterAutospacing="0"/>
              <w:jc w:val="both"/>
              <w:rPr>
                <w:sz w:val="16"/>
                <w:szCs w:val="16"/>
              </w:rPr>
            </w:pPr>
            <w:r>
              <w:rPr>
                <w:sz w:val="16"/>
                <w:szCs w:val="16"/>
              </w:rPr>
              <w:t>(5)</w:t>
            </w:r>
          </w:p>
        </w:tc>
        <w:tc>
          <w:tcPr>
            <w:tcW w:w="0" w:type="auto"/>
            <w:hideMark/>
          </w:tcPr>
          <w:p w:rsidR="00000000" w:rsidRDefault="00827839">
            <w:pPr>
              <w:pStyle w:val="a3"/>
              <w:spacing w:before="0" w:beforeAutospacing="0" w:after="0" w:afterAutospacing="0"/>
              <w:jc w:val="both"/>
              <w:rPr>
                <w:sz w:val="16"/>
                <w:szCs w:val="16"/>
              </w:rPr>
            </w:pPr>
            <w:r>
              <w:rPr>
                <w:sz w:val="16"/>
                <w:szCs w:val="16"/>
              </w:rPr>
              <w:t>This column is frequently used when non-equity incentive plan awards are denominated in units; however, in this case, the numbers reported represent the LTIP phantom units each named executive officer was awarded under the LTIP during fiscal 2019.  The amo</w:t>
            </w:r>
            <w:r>
              <w:rPr>
                <w:sz w:val="16"/>
                <w:szCs w:val="16"/>
              </w:rPr>
              <w:t>unts in the “Estimated Future Payments Under Equity Incentive Plan Awards” column were based on the probable outcome with respect to satisfaction of the performance conditions and calculated in accordance with GAAP for financial reporting purposes based on</w:t>
            </w:r>
            <w:r>
              <w:rPr>
                <w:sz w:val="16"/>
                <w:szCs w:val="16"/>
              </w:rPr>
              <w:t xml:space="preserve"> the assumptions described in Note 10 of the Notes to Consolidated Financial Statements included in this Annual Report, but disregarding estimates of forfeiture.</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6092055"/>
        </w:trPr>
        <w:tc>
          <w:tcPr>
            <w:tcW w:w="227" w:type="pct"/>
            <w:noWrap/>
            <w:hideMark/>
          </w:tcPr>
          <w:p w:rsidR="00000000" w:rsidRDefault="00827839">
            <w:pPr>
              <w:pStyle w:val="a3"/>
              <w:spacing w:before="0" w:beforeAutospacing="0" w:after="0" w:afterAutospacing="0"/>
              <w:jc w:val="both"/>
              <w:rPr>
                <w:sz w:val="16"/>
                <w:szCs w:val="16"/>
              </w:rPr>
            </w:pPr>
            <w:r>
              <w:rPr>
                <w:sz w:val="16"/>
                <w:szCs w:val="16"/>
              </w:rPr>
              <w:t>(6)</w:t>
            </w:r>
          </w:p>
        </w:tc>
        <w:tc>
          <w:tcPr>
            <w:tcW w:w="0" w:type="auto"/>
            <w:hideMark/>
          </w:tcPr>
          <w:p w:rsidR="00000000" w:rsidRDefault="00827839">
            <w:pPr>
              <w:pStyle w:val="a3"/>
              <w:spacing w:before="0" w:beforeAutospacing="0" w:after="0" w:afterAutospacing="0"/>
              <w:jc w:val="both"/>
              <w:rPr>
                <w:sz w:val="16"/>
                <w:szCs w:val="16"/>
              </w:rPr>
            </w:pPr>
            <w:r>
              <w:rPr>
                <w:sz w:val="16"/>
                <w:szCs w:val="16"/>
              </w:rPr>
              <w:t>The dollar amounts reported in this column represent the aggregate fair value of the RU</w:t>
            </w:r>
            <w:r>
              <w:rPr>
                <w:sz w:val="16"/>
                <w:szCs w:val="16"/>
              </w:rPr>
              <w:t>P and RUP-2 awards on the grant date, based on the assumptions described in Note 10 of the Notes to Consolidated Financial Statements included in this Annual Report, but disregarding estimates of forfeiture.  The fair value shown may not be indicative of t</w:t>
            </w:r>
            <w:r>
              <w:rPr>
                <w:sz w:val="16"/>
                <w:szCs w:val="16"/>
              </w:rPr>
              <w:t>he value realized in the future upon vesting because of the variability in the trading price of our Common Units.</w:t>
            </w:r>
          </w:p>
        </w:tc>
      </w:tr>
    </w:tbl>
    <w:p w:rsidR="00000000" w:rsidRDefault="00827839">
      <w:pPr>
        <w:pStyle w:val="a3"/>
        <w:spacing w:before="240" w:beforeAutospacing="0" w:after="0" w:afterAutospacing="0"/>
        <w:jc w:val="both"/>
        <w:rPr>
          <w:sz w:val="16"/>
          <w:szCs w:val="16"/>
        </w:rPr>
      </w:pPr>
      <w:r>
        <w:rPr>
          <w:sz w:val="16"/>
          <w:szCs w:val="16"/>
        </w:rPr>
        <w:t>Note: Columns (j) and (k) were omitted from the Grants of Plan Based Awards Table because we do not award options to our employees.</w:t>
      </w:r>
    </w:p>
    <w:p w:rsidR="00000000" w:rsidRDefault="00827839">
      <w:pPr>
        <w:pStyle w:val="a3"/>
        <w:spacing w:before="360" w:beforeAutospacing="0" w:after="0" w:afterAutospacing="0"/>
        <w:jc w:val="both"/>
        <w:rPr>
          <w:b/>
          <w:bCs/>
          <w:sz w:val="20"/>
          <w:szCs w:val="20"/>
        </w:rPr>
      </w:pPr>
      <w:r>
        <w:rPr>
          <w:b/>
          <w:bCs/>
          <w:sz w:val="20"/>
          <w:szCs w:val="20"/>
        </w:rPr>
        <w:t>Outstandi</w:t>
      </w:r>
      <w:r>
        <w:rPr>
          <w:b/>
          <w:bCs/>
          <w:sz w:val="20"/>
          <w:szCs w:val="20"/>
        </w:rPr>
        <w:t>ng Equity Awards at Fiscal Year End 2019 Table</w:t>
      </w:r>
    </w:p>
    <w:p w:rsidR="00000000" w:rsidRDefault="00827839">
      <w:pPr>
        <w:pStyle w:val="a3"/>
        <w:spacing w:before="120" w:beforeAutospacing="0" w:after="0" w:afterAutospacing="0"/>
        <w:ind w:firstLine="556"/>
        <w:jc w:val="both"/>
        <w:rPr>
          <w:sz w:val="20"/>
          <w:szCs w:val="20"/>
        </w:rPr>
      </w:pPr>
      <w:r>
        <w:rPr>
          <w:sz w:val="20"/>
          <w:szCs w:val="20"/>
        </w:rPr>
        <w:t>The following table sets forth certain information concerning outstanding equity awards under our RUP, RUP-2 and LTIP unit awards for each named executive officer as of September 28, 2019:</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141"/>
        <w:gridCol w:w="100"/>
        <w:gridCol w:w="69"/>
        <w:gridCol w:w="819"/>
        <w:gridCol w:w="69"/>
        <w:gridCol w:w="100"/>
        <w:gridCol w:w="115"/>
        <w:gridCol w:w="820"/>
        <w:gridCol w:w="70"/>
        <w:gridCol w:w="101"/>
        <w:gridCol w:w="70"/>
        <w:gridCol w:w="820"/>
        <w:gridCol w:w="70"/>
        <w:gridCol w:w="101"/>
        <w:gridCol w:w="115"/>
        <w:gridCol w:w="825"/>
        <w:gridCol w:w="70"/>
      </w:tblGrid>
      <w:tr w:rsidR="00000000">
        <w:trPr>
          <w:divId w:val="547448262"/>
        </w:trPr>
        <w:tc>
          <w:tcPr>
            <w:tcW w:w="4950" w:type="pct"/>
            <w:gridSpan w:val="1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Stock Awards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47448262"/>
        </w:trPr>
        <w:tc>
          <w:tcPr>
            <w:tcW w:w="210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7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Shares or Units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of Stock That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Have Not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Vested (1)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Market Value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Shares or Units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of Stock That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Have Not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Vested (2)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Equity Incentive</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Plan Awards: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Unearned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Shares, Units or</w:t>
            </w:r>
          </w:p>
          <w:p w:rsidR="00000000" w:rsidRDefault="00827839">
            <w:pPr>
              <w:pStyle w:val="a3"/>
              <w:spacing w:before="0" w:beforeAutospacing="0" w:after="0" w:afterAutospacing="0"/>
              <w:jc w:val="center"/>
              <w:rPr>
                <w:b/>
                <w:bCs/>
                <w:color w:val="000000"/>
                <w:sz w:val="16"/>
                <w:szCs w:val="16"/>
              </w:rPr>
            </w:pPr>
            <w:r>
              <w:rPr>
                <w:b/>
                <w:bCs/>
                <w:color w:val="000000"/>
                <w:sz w:val="16"/>
                <w:szCs w:val="16"/>
              </w:rPr>
              <w:t>Other Rights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that Have Not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Vested (3)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Equity Incentive</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Plan Awards: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Market or</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Payout Value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Unearned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Shares, Units or</w:t>
            </w:r>
          </w:p>
          <w:p w:rsidR="00000000" w:rsidRDefault="00827839">
            <w:pPr>
              <w:pStyle w:val="a3"/>
              <w:spacing w:before="0" w:beforeAutospacing="0" w:after="0" w:afterAutospacing="0"/>
              <w:jc w:val="center"/>
              <w:rPr>
                <w:b/>
                <w:bCs/>
                <w:color w:val="000000"/>
                <w:sz w:val="16"/>
                <w:szCs w:val="16"/>
              </w:rPr>
            </w:pPr>
            <w:r>
              <w:rPr>
                <w:b/>
                <w:bCs/>
                <w:color w:val="000000"/>
                <w:sz w:val="16"/>
                <w:szCs w:val="16"/>
              </w:rPr>
              <w:t>Other Rights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That Have Not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Vested (4)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47448262"/>
        </w:trPr>
        <w:tc>
          <w:tcPr>
            <w:tcW w:w="2105"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(a)</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(g)</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(h)</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(i)</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(j)</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547448262"/>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84,257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2,004,053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23,109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714,426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47448262"/>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52,378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1,245,811</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12,269</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379,302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47448262"/>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50,997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1,212,964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12,269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379,302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47448262"/>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49,265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1,171,768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11,260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348,108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47448262"/>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53,403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1,270,190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10,925</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337,752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72660336"/>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sz w:val="20"/>
                <w:szCs w:val="20"/>
              </w:rPr>
              <w:t>The figures reported in this column represent the total quantity of each of our named executive officer’s unvested RUP awards.</w:t>
            </w:r>
          </w:p>
        </w:tc>
      </w:tr>
    </w:tbl>
    <w:p w:rsidR="00000000" w:rsidRDefault="00827839">
      <w:pPr>
        <w:pStyle w:val="a3"/>
        <w:spacing w:before="240" w:beforeAutospacing="0" w:after="0" w:afterAutospacing="0"/>
        <w:ind w:firstLine="556"/>
        <w:jc w:val="both"/>
        <w:rPr>
          <w:sz w:val="20"/>
          <w:szCs w:val="20"/>
        </w:rPr>
      </w:pPr>
      <w:r>
        <w:rPr>
          <w:sz w:val="20"/>
          <w:szCs w:val="20"/>
        </w:rPr>
        <w:t>The following is a schedule of when the RUP awards reported above will vest:</w:t>
      </w:r>
    </w:p>
    <w:p w:rsidR="00000000" w:rsidRDefault="00827839">
      <w:pPr>
        <w:pStyle w:val="a3"/>
        <w:spacing w:before="0" w:beforeAutospacing="0" w:after="0" w:afterAutospacing="0"/>
        <w:ind w:left="476" w:hanging="556"/>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149"/>
        <w:gridCol w:w="107"/>
        <w:gridCol w:w="76"/>
        <w:gridCol w:w="825"/>
        <w:gridCol w:w="75"/>
        <w:gridCol w:w="106"/>
        <w:gridCol w:w="75"/>
        <w:gridCol w:w="825"/>
        <w:gridCol w:w="75"/>
        <w:gridCol w:w="106"/>
        <w:gridCol w:w="75"/>
        <w:gridCol w:w="825"/>
        <w:gridCol w:w="75"/>
        <w:gridCol w:w="106"/>
        <w:gridCol w:w="75"/>
        <w:gridCol w:w="825"/>
        <w:gridCol w:w="75"/>
      </w:tblGrid>
      <w:tr w:rsidR="00000000">
        <w:trPr>
          <w:divId w:val="578829215"/>
        </w:trPr>
        <w:tc>
          <w:tcPr>
            <w:tcW w:w="2105"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 RUP</w:t>
            </w:r>
          </w:p>
          <w:p w:rsidR="00000000" w:rsidRDefault="00827839">
            <w:pPr>
              <w:pStyle w:val="a3"/>
              <w:spacing w:before="0" w:beforeAutospacing="0" w:after="0" w:afterAutospacing="0"/>
              <w:jc w:val="center"/>
              <w:rPr>
                <w:b/>
                <w:bCs/>
                <w:color w:val="000000"/>
                <w:sz w:val="16"/>
                <w:szCs w:val="16"/>
              </w:rPr>
            </w:pPr>
            <w:r>
              <w:rPr>
                <w:b/>
                <w:bCs/>
                <w:color w:val="000000"/>
                <w:sz w:val="16"/>
                <w:szCs w:val="16"/>
              </w:rPr>
              <w:t>Awards That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Have Not Vested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Quantity That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Will Vest 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November 15,</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Quantity That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Will Vest 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November 15,</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Quantity That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Will Vest 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November 15,</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78829215"/>
        </w:trPr>
        <w:tc>
          <w:tcPr>
            <w:tcW w:w="2105"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(a)</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(g)</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(h)</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(i)</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6"/>
                <w:szCs w:val="16"/>
              </w:rPr>
            </w:pPr>
            <w:r>
              <w:rPr>
                <w:color w:val="000000"/>
                <w:sz w:val="16"/>
                <w:szCs w:val="16"/>
              </w:rPr>
              <w:t>(j)</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r>
      <w:tr w:rsidR="00000000">
        <w:trPr>
          <w:divId w:val="578829215"/>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84,257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39,474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28,852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15,931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829215"/>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52,378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24,828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18,136</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9,414</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829215"/>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50,997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23,447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18,136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9,414</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829215"/>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49,265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22,762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17,451</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9,052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829215"/>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53,403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12"/>
          <w:szCs w:val="12"/>
        </w:rPr>
      </w:pPr>
      <w:r>
        <w:rPr>
          <w:sz w:val="12"/>
          <w:szCs w:val="12"/>
        </w:rPr>
        <w:t> </w:t>
      </w:r>
    </w:p>
    <w:p w:rsidR="00000000" w:rsidRDefault="00827839">
      <w:pPr>
        <w:pStyle w:val="a3"/>
        <w:spacing w:before="0" w:beforeAutospacing="0" w:after="0" w:afterAutospacing="0"/>
        <w:jc w:val="both"/>
        <w:rPr>
          <w:sz w:val="16"/>
          <w:szCs w:val="16"/>
        </w:rPr>
      </w:pPr>
      <w:r>
        <w:rPr>
          <w:sz w:val="16"/>
          <w:szCs w:val="16"/>
        </w:rPr>
        <w:t>*  </w:t>
      </w:r>
      <w:r>
        <w:rPr>
          <w:sz w:val="16"/>
          <w:szCs w:val="16"/>
        </w:rPr>
        <w:t>All of Mr. Abel’s unvested units will vest on April 2, 2020, six months and one day after his retirement date.</w:t>
      </w:r>
    </w:p>
    <w:p w:rsidR="00000000" w:rsidRDefault="00827839">
      <w:pPr>
        <w:pStyle w:val="a3"/>
        <w:spacing w:before="0" w:beforeAutospacing="0" w:after="0" w:afterAutospacing="0"/>
        <w:ind w:left="476" w:hanging="556"/>
        <w:jc w:val="both"/>
        <w:rPr>
          <w:sz w:val="6"/>
          <w:szCs w:val="6"/>
        </w:rPr>
      </w:pPr>
      <w:r>
        <w:rPr>
          <w:sz w:val="6"/>
          <w:szCs w:val="6"/>
        </w:rPr>
        <w:t> </w:t>
      </w:r>
    </w:p>
    <w:p w:rsidR="00000000" w:rsidRDefault="00827839">
      <w:pPr>
        <w:pStyle w:val="a3"/>
        <w:spacing w:before="0" w:beforeAutospacing="0" w:after="0" w:afterAutospacing="0"/>
        <w:ind w:left="476" w:hanging="556"/>
        <w:jc w:val="both"/>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38185135"/>
        </w:trPr>
        <w:tc>
          <w:tcPr>
            <w:tcW w:w="227" w:type="pct"/>
            <w:noWrap/>
            <w:hideMark/>
          </w:tcPr>
          <w:p w:rsidR="00000000" w:rsidRDefault="00827839">
            <w:pPr>
              <w:pStyle w:val="a3"/>
              <w:spacing w:before="40" w:beforeAutospacing="0" w:after="0" w:afterAutospacing="0"/>
              <w:jc w:val="both"/>
              <w:rPr>
                <w:sz w:val="20"/>
                <w:szCs w:val="20"/>
              </w:rPr>
            </w:pPr>
            <w:r>
              <w:rPr>
                <w:sz w:val="20"/>
                <w:szCs w:val="20"/>
              </w:rPr>
              <w:t>(2)</w:t>
            </w:r>
          </w:p>
        </w:tc>
        <w:tc>
          <w:tcPr>
            <w:tcW w:w="0" w:type="auto"/>
            <w:hideMark/>
          </w:tcPr>
          <w:p w:rsidR="00000000" w:rsidRDefault="00827839">
            <w:pPr>
              <w:pStyle w:val="a3"/>
              <w:spacing w:before="40" w:beforeAutospacing="0" w:after="0" w:afterAutospacing="0"/>
              <w:jc w:val="both"/>
              <w:rPr>
                <w:sz w:val="20"/>
                <w:szCs w:val="20"/>
              </w:rPr>
            </w:pPr>
            <w:r>
              <w:rPr>
                <w:sz w:val="20"/>
                <w:szCs w:val="20"/>
              </w:rPr>
              <w:t xml:space="preserve">The figures reported in this column represent the figures reported in column (g) multiplied by the average of the highest and the lowest </w:t>
            </w:r>
            <w:r>
              <w:rPr>
                <w:sz w:val="20"/>
                <w:szCs w:val="20"/>
              </w:rPr>
              <w:t>trading prices of our Common Units on September 27, 2019, the last trading day of fiscal 2019.</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(3)</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amounts reported in this column represent the quantities of phantom units that underlie the outstanding and unvested fiscal 2019 and fiscal 2018 awards</w:t>
            </w:r>
            <w:r>
              <w:rPr>
                <w:sz w:val="20"/>
                <w:szCs w:val="20"/>
              </w:rPr>
              <w:t xml:space="preserve"> under the LTIP.  Payments, if earned, will be made to participants at the end of a three-year measurement period and will be based upon the Partnership’s distribution coverage ratio for the three-year measurement period.  For more information on the LTIP,</w:t>
            </w:r>
            <w:r>
              <w:rPr>
                <w:sz w:val="20"/>
                <w:szCs w:val="20"/>
              </w:rPr>
              <w:t xml:space="preserve"> refer to the subheading “Long-Term Incentive Plan” in the “Compensation Discussion and Analysis.”</w:t>
            </w:r>
          </w:p>
        </w:tc>
      </w:tr>
    </w:tbl>
    <w:p w:rsidR="00000000" w:rsidRDefault="00827839">
      <w:pPr>
        <w:divId w:val="175331629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53316297"/>
        </w:trPr>
        <w:tc>
          <w:tcPr>
            <w:tcW w:w="227" w:type="pct"/>
            <w:noWrap/>
            <w:hideMark/>
          </w:tcPr>
          <w:p w:rsidR="00000000" w:rsidRDefault="00827839">
            <w:pPr>
              <w:pStyle w:val="a3"/>
              <w:spacing w:before="120" w:beforeAutospacing="0" w:after="0" w:afterAutospacing="0"/>
              <w:jc w:val="both"/>
              <w:rPr>
                <w:sz w:val="20"/>
                <w:szCs w:val="20"/>
              </w:rPr>
            </w:pPr>
            <w:r>
              <w:rPr>
                <w:sz w:val="20"/>
                <w:szCs w:val="20"/>
              </w:rPr>
              <w:t>(4)</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amounts reported in this column represent the estimated future target payouts of the fiscal 2019 and fiscal 2018 awards granted under the LTIP.  These amounts were computed by multiplying the quantities of the unvested phantom units in column (i) by th</w:t>
            </w:r>
            <w:r>
              <w:rPr>
                <w:sz w:val="20"/>
                <w:szCs w:val="20"/>
              </w:rPr>
              <w:t>e average of the closing prices of our Common Units for the twenty business days preceding September 28, 2019 (in accordance with the LTIP’s valuation methodology), and by adding to the product of that calculation the product of each year’s underlying phan</w:t>
            </w:r>
            <w:r>
              <w:rPr>
                <w:sz w:val="20"/>
                <w:szCs w:val="20"/>
              </w:rPr>
              <w:t>tom units times the sum of the distributions that are estimated to inure to an outstanding Common Unit during each award’s three-year measurement period.  Because of the variability of the trading prices of our Common Units, actual payments, if any, at the</w:t>
            </w:r>
            <w:r>
              <w:rPr>
                <w:sz w:val="20"/>
                <w:szCs w:val="20"/>
              </w:rPr>
              <w:t xml:space="preserve"> end of the three-year measurement period may differ.  The following chart provides a breakdown of each year’s awards:</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72</w:t>
      </w:r>
    </w:p>
    <w:p w:rsidR="00000000" w:rsidRDefault="00827839">
      <w:pPr>
        <w:rPr>
          <w:rFonts w:eastAsia="Times New Roman"/>
        </w:rPr>
      </w:pPr>
      <w:r>
        <w:rPr>
          <w:rFonts w:eastAsia="Times New Roman"/>
        </w:rPr>
        <w:pict>
          <v:rect id="_x0000_i109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ind w:left="476"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47"/>
        <w:gridCol w:w="92"/>
        <w:gridCol w:w="115"/>
        <w:gridCol w:w="770"/>
        <w:gridCol w:w="73"/>
        <w:gridCol w:w="93"/>
        <w:gridCol w:w="115"/>
        <w:gridCol w:w="771"/>
        <w:gridCol w:w="73"/>
        <w:gridCol w:w="93"/>
        <w:gridCol w:w="115"/>
        <w:gridCol w:w="771"/>
        <w:gridCol w:w="73"/>
        <w:gridCol w:w="93"/>
        <w:gridCol w:w="116"/>
        <w:gridCol w:w="771"/>
        <w:gridCol w:w="73"/>
        <w:gridCol w:w="93"/>
        <w:gridCol w:w="115"/>
        <w:gridCol w:w="771"/>
        <w:gridCol w:w="73"/>
      </w:tblGrid>
      <w:tr w:rsidR="00000000">
        <w:trPr>
          <w:divId w:val="953830593"/>
        </w:trPr>
        <w:tc>
          <w:tcPr>
            <w:tcW w:w="183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Stivala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Kuglin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Boyd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Brinkworth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1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Mr. Abel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953830593"/>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Fiscal 2019 Phantom Units</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11,928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6,333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6,333</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5,812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5,639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3830593"/>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Value of Fiscal 2019 Phantom Units</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282,878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137,834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133,732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3830593"/>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Estimated Distributions over Measurement</w:t>
            </w:r>
          </w:p>
          <w:p w:rsidR="00000000" w:rsidRDefault="00827839">
            <w:pPr>
              <w:pStyle w:val="a3"/>
              <w:spacing w:before="0" w:beforeAutospacing="0" w:after="0" w:afterAutospacing="0"/>
              <w:rPr>
                <w:color w:val="000000"/>
                <w:sz w:val="20"/>
                <w:szCs w:val="20"/>
              </w:rPr>
            </w:pPr>
            <w:r>
              <w:rPr>
                <w:color w:val="000000"/>
                <w:sz w:val="20"/>
                <w:szCs w:val="20"/>
              </w:rPr>
              <w:t>   Period</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85,882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45,598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45,598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41,846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40,601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3830593"/>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3830593"/>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Fiscal 2018 Phantom Units</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11,181</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5,936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5,936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5,448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69"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5,286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3830593"/>
        </w:trPr>
        <w:tc>
          <w:tcPr>
            <w:tcW w:w="183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Value of Fiscal 2018 Phantom Units</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265,163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140,775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140,775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129,202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125,360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953830593"/>
        </w:trPr>
        <w:tc>
          <w:tcPr>
            <w:tcW w:w="183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Estimated Distributions over Measurement</w:t>
            </w:r>
          </w:p>
          <w:p w:rsidR="00000000" w:rsidRDefault="00827839">
            <w:pPr>
              <w:pStyle w:val="a3"/>
              <w:spacing w:before="0" w:beforeAutospacing="0" w:after="0" w:afterAutospacing="0"/>
              <w:rPr>
                <w:color w:val="000000"/>
                <w:sz w:val="20"/>
                <w:szCs w:val="20"/>
              </w:rPr>
            </w:pPr>
            <w:r>
              <w:rPr>
                <w:color w:val="000000"/>
                <w:sz w:val="20"/>
                <w:szCs w:val="20"/>
              </w:rPr>
              <w:t>   Period</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80,503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42,739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42,739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39,226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6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38,059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pPr>
      <w:r>
        <w:t> </w:t>
      </w:r>
    </w:p>
    <w:p w:rsidR="00000000" w:rsidRDefault="00827839">
      <w:pPr>
        <w:pStyle w:val="a3"/>
        <w:spacing w:before="0" w:beforeAutospacing="0" w:after="0" w:afterAutospacing="0"/>
        <w:jc w:val="both"/>
        <w:rPr>
          <w:sz w:val="20"/>
          <w:szCs w:val="20"/>
        </w:rPr>
      </w:pPr>
      <w:r>
        <w:rPr>
          <w:sz w:val="20"/>
          <w:szCs w:val="20"/>
        </w:rPr>
        <w:t>Note: Columns (b), (c), (d), (e) and (f), all of which are for the reporting of option-related compensation, have been omitted from the “Outstanding Equity Awards At Fiscal Year End 2019 Table” because we do not grant options to our employees.</w:t>
      </w:r>
    </w:p>
    <w:p w:rsidR="00000000" w:rsidRDefault="00827839">
      <w:pPr>
        <w:pStyle w:val="a3"/>
        <w:spacing w:before="360" w:beforeAutospacing="0" w:after="0" w:afterAutospacing="0"/>
        <w:jc w:val="both"/>
        <w:rPr>
          <w:b/>
          <w:bCs/>
          <w:sz w:val="20"/>
          <w:szCs w:val="20"/>
        </w:rPr>
      </w:pPr>
      <w:r>
        <w:rPr>
          <w:b/>
          <w:bCs/>
          <w:sz w:val="20"/>
          <w:szCs w:val="20"/>
        </w:rPr>
        <w:t>Equity Veste</w:t>
      </w:r>
      <w:r>
        <w:rPr>
          <w:b/>
          <w:bCs/>
          <w:sz w:val="20"/>
          <w:szCs w:val="20"/>
        </w:rPr>
        <w:t>d Table for Fiscal 2019</w:t>
      </w:r>
    </w:p>
    <w:p w:rsidR="00000000" w:rsidRDefault="00827839">
      <w:pPr>
        <w:pStyle w:val="a3"/>
        <w:spacing w:before="120" w:beforeAutospacing="0" w:after="0" w:afterAutospacing="0"/>
        <w:ind w:firstLine="556"/>
        <w:jc w:val="both"/>
        <w:rPr>
          <w:sz w:val="20"/>
          <w:szCs w:val="20"/>
        </w:rPr>
      </w:pPr>
      <w:r>
        <w:rPr>
          <w:sz w:val="20"/>
          <w:szCs w:val="20"/>
        </w:rPr>
        <w:t>Awards under the RUP and RUP-2 are settled in Common Units upon vesting.  Awards under the LTIP, a phantom unit plan, are settled in cash. The following two tables set forth certain information concerning the vesting of awards under</w:t>
      </w:r>
      <w:r>
        <w:rPr>
          <w:sz w:val="20"/>
          <w:szCs w:val="20"/>
        </w:rPr>
        <w:t xml:space="preserve"> our RUP, RUP-2 and the vesting of the fiscal 2017 award under our LTIP for each named executive officer during the fiscal year ended September 28, 2019:</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9"/>
        <w:gridCol w:w="100"/>
        <w:gridCol w:w="66"/>
        <w:gridCol w:w="936"/>
        <w:gridCol w:w="65"/>
        <w:gridCol w:w="101"/>
        <w:gridCol w:w="115"/>
        <w:gridCol w:w="937"/>
        <w:gridCol w:w="65"/>
      </w:tblGrid>
      <w:tr w:rsidR="00000000">
        <w:trPr>
          <w:divId w:val="1242449348"/>
        </w:trPr>
        <w:tc>
          <w:tcPr>
            <w:tcW w:w="4950" w:type="pct"/>
            <w:gridSpan w:val="8"/>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Restricted Unit Plan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42449348"/>
        </w:trPr>
        <w:tc>
          <w:tcPr>
            <w:tcW w:w="2963"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00"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886"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Unit Awards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42449348"/>
        </w:trPr>
        <w:tc>
          <w:tcPr>
            <w:tcW w:w="296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Common Units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Acquired 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Vesting</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Value Realized 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Vesting (1)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42449348"/>
        </w:trPr>
        <w:tc>
          <w:tcPr>
            <w:tcW w:w="2963"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29,636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674,367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42449348"/>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18,338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417,281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42449348"/>
        </w:trPr>
        <w:tc>
          <w:tcPr>
            <w:tcW w:w="296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16,957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385,857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42449348"/>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16,634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378,507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42449348"/>
        </w:trPr>
        <w:tc>
          <w:tcPr>
            <w:tcW w:w="296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15,988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363,807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53569355"/>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sz w:val="20"/>
                <w:szCs w:val="20"/>
              </w:rPr>
              <w:t>The value realized is equal to the average of the high and low trading prices of our Common Units on the vesting date, multiplied by the number of units that vested.</w:t>
            </w:r>
          </w:p>
        </w:tc>
      </w:tr>
    </w:tbl>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9"/>
        <w:gridCol w:w="100"/>
        <w:gridCol w:w="66"/>
        <w:gridCol w:w="936"/>
        <w:gridCol w:w="65"/>
        <w:gridCol w:w="101"/>
        <w:gridCol w:w="115"/>
        <w:gridCol w:w="937"/>
        <w:gridCol w:w="65"/>
      </w:tblGrid>
      <w:tr w:rsidR="00000000">
        <w:trPr>
          <w:divId w:val="1142581616"/>
        </w:trPr>
        <w:tc>
          <w:tcPr>
            <w:tcW w:w="4950" w:type="pct"/>
            <w:gridSpan w:val="8"/>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Long-Term Incentive Plan - Fiscal 2017 (2) Award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142581616"/>
        </w:trPr>
        <w:tc>
          <w:tcPr>
            <w:tcW w:w="2963"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00"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886"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Cash Awards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142581616"/>
        </w:trPr>
        <w:tc>
          <w:tcPr>
            <w:tcW w:w="296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Phantom Units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Cashed Out 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Vesting (3)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Value Realized 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Vesting (4)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142581616"/>
        </w:trPr>
        <w:tc>
          <w:tcPr>
            <w:tcW w:w="2963"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Stivala</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7,559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280,428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2581616"/>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Kuglin</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3,991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148,061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2581616"/>
        </w:trPr>
        <w:tc>
          <w:tcPr>
            <w:tcW w:w="296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3,991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148,061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2581616"/>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3,749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139,083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42581616"/>
        </w:trPr>
        <w:tc>
          <w:tcPr>
            <w:tcW w:w="296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Paul Abel</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3,402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126,209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32433148"/>
        </w:trPr>
        <w:tc>
          <w:tcPr>
            <w:tcW w:w="227" w:type="pct"/>
            <w:noWrap/>
            <w:hideMark/>
          </w:tcPr>
          <w:p w:rsidR="00000000" w:rsidRDefault="00827839">
            <w:pPr>
              <w:pStyle w:val="a3"/>
              <w:spacing w:before="0" w:beforeAutospacing="0" w:after="0" w:afterAutospacing="0"/>
              <w:jc w:val="both"/>
              <w:rPr>
                <w:sz w:val="20"/>
                <w:szCs w:val="20"/>
              </w:rPr>
            </w:pPr>
            <w:r>
              <w:rPr>
                <w:sz w:val="20"/>
                <w:szCs w:val="20"/>
              </w:rPr>
              <w:t>(2)</w:t>
            </w:r>
          </w:p>
        </w:tc>
        <w:tc>
          <w:tcPr>
            <w:tcW w:w="0" w:type="auto"/>
            <w:hideMark/>
          </w:tcPr>
          <w:p w:rsidR="00000000" w:rsidRDefault="00827839">
            <w:pPr>
              <w:pStyle w:val="a3"/>
              <w:spacing w:before="0" w:beforeAutospacing="0" w:after="0" w:afterAutospacing="0"/>
              <w:jc w:val="both"/>
              <w:rPr>
                <w:sz w:val="20"/>
                <w:szCs w:val="20"/>
              </w:rPr>
            </w:pPr>
            <w:r>
              <w:rPr>
                <w:sz w:val="20"/>
                <w:szCs w:val="20"/>
              </w:rPr>
              <w:t>The fiscal 2017 award’s three-year measurement period concluded on September 28, 2019.</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(3)</w:t>
            </w:r>
          </w:p>
        </w:tc>
        <w:tc>
          <w:tcPr>
            <w:tcW w:w="0" w:type="auto"/>
            <w:hideMark/>
          </w:tcPr>
          <w:p w:rsidR="00000000" w:rsidRDefault="00827839">
            <w:pPr>
              <w:pStyle w:val="a3"/>
              <w:spacing w:before="120" w:beforeAutospacing="0" w:after="0" w:afterAutospacing="0"/>
              <w:jc w:val="both"/>
              <w:rPr>
                <w:sz w:val="20"/>
                <w:szCs w:val="20"/>
              </w:rPr>
            </w:pPr>
            <w:r>
              <w:rPr>
                <w:sz w:val="20"/>
                <w:szCs w:val="20"/>
              </w:rPr>
              <w:t>In accordance with the formula described in the “Compensation Discussion and Analysis” under the subheading “Long-Term Incentive Plan,” these quantities were calculated at the beginning of the three-year measurement period and were based upon each individu</w:t>
            </w:r>
            <w:r>
              <w:rPr>
                <w:sz w:val="20"/>
                <w:szCs w:val="20"/>
              </w:rPr>
              <w:t>al’s salary and target cash bonus at that time.</w:t>
            </w:r>
          </w:p>
        </w:tc>
      </w:tr>
    </w:tbl>
    <w:p w:rsidR="00000000" w:rsidRDefault="00827839">
      <w:pPr>
        <w:divId w:val="164746644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47466440"/>
        </w:trPr>
        <w:tc>
          <w:tcPr>
            <w:tcW w:w="227" w:type="pct"/>
            <w:noWrap/>
            <w:hideMark/>
          </w:tcPr>
          <w:p w:rsidR="00000000" w:rsidRDefault="00827839">
            <w:pPr>
              <w:pStyle w:val="a3"/>
              <w:spacing w:before="120" w:beforeAutospacing="0" w:after="0" w:afterAutospacing="0"/>
              <w:jc w:val="both"/>
              <w:rPr>
                <w:sz w:val="20"/>
                <w:szCs w:val="20"/>
              </w:rPr>
            </w:pPr>
            <w:r>
              <w:rPr>
                <w:sz w:val="20"/>
                <w:szCs w:val="20"/>
              </w:rPr>
              <w:t>(4)</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value (i.e., cash payment) realized was calculated in accordance with the terms and conditions of the LTIP.  For more information, refer to the subheading “Long-Term Incentive Plan” in the “Compensa</w:t>
            </w:r>
            <w:r>
              <w:rPr>
                <w:sz w:val="20"/>
                <w:szCs w:val="20"/>
              </w:rPr>
              <w:t>tion Discussion and Analysis.”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73</w:t>
      </w:r>
    </w:p>
    <w:p w:rsidR="00000000" w:rsidRDefault="00827839">
      <w:pPr>
        <w:rPr>
          <w:rFonts w:eastAsia="Times New Roman"/>
        </w:rPr>
      </w:pPr>
      <w:r>
        <w:rPr>
          <w:rFonts w:eastAsia="Times New Roman"/>
        </w:rPr>
        <w:pict>
          <v:rect id="_x0000_i110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360" w:beforeAutospacing="0" w:after="0" w:afterAutospacing="0"/>
        <w:jc w:val="both"/>
        <w:rPr>
          <w:b/>
          <w:bCs/>
          <w:sz w:val="20"/>
          <w:szCs w:val="20"/>
        </w:rPr>
      </w:pPr>
      <w:r>
        <w:rPr>
          <w:b/>
          <w:bCs/>
          <w:sz w:val="20"/>
          <w:szCs w:val="20"/>
        </w:rPr>
        <w:t>Retirement Benefits Table for Fiscal 2019</w:t>
      </w:r>
    </w:p>
    <w:p w:rsidR="00000000" w:rsidRDefault="00827839">
      <w:pPr>
        <w:pStyle w:val="a3"/>
        <w:spacing w:before="120" w:beforeAutospacing="0" w:after="0" w:afterAutospacing="0"/>
        <w:ind w:firstLine="556"/>
        <w:jc w:val="both"/>
        <w:rPr>
          <w:spacing w:val="-2"/>
          <w:sz w:val="20"/>
          <w:szCs w:val="20"/>
        </w:rPr>
      </w:pPr>
      <w:r>
        <w:rPr>
          <w:spacing w:val="-2"/>
          <w:sz w:val="20"/>
          <w:szCs w:val="20"/>
        </w:rPr>
        <w:t>The following table sets forth certain information concerning each plan that provides for payments or other benefits at, following, or in connection with retirement for each named executive officer as of the end of the fiscal year ended September 28, 2019:</w:t>
      </w:r>
    </w:p>
    <w:p w:rsidR="00000000" w:rsidRDefault="00827839">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23"/>
        <w:gridCol w:w="65"/>
        <w:gridCol w:w="1798"/>
        <w:gridCol w:w="65"/>
        <w:gridCol w:w="695"/>
        <w:gridCol w:w="65"/>
        <w:gridCol w:w="115"/>
        <w:gridCol w:w="815"/>
        <w:gridCol w:w="65"/>
        <w:gridCol w:w="65"/>
        <w:gridCol w:w="116"/>
        <w:gridCol w:w="623"/>
        <w:gridCol w:w="65"/>
      </w:tblGrid>
      <w:tr w:rsidR="00000000">
        <w:trPr>
          <w:divId w:val="1063984079"/>
        </w:trPr>
        <w:tc>
          <w:tcPr>
            <w:tcW w:w="2059"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58"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Plan Name</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 Years Credited Service</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Present Value of Accumulated Benefit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Payments During Last Fiscal Year</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63984079"/>
        </w:trPr>
        <w:tc>
          <w:tcPr>
            <w:tcW w:w="2059"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Stivala (1)</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N/A</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Michael A. Kuglin (1)</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N/A</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r>
      <w:tr w:rsidR="00000000">
        <w:trPr>
          <w:divId w:val="1063984079"/>
        </w:trPr>
        <w:tc>
          <w:tcPr>
            <w:tcW w:w="20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Steven C. Boyd</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Cash</w:t>
            </w:r>
            <w:r>
              <w:rPr>
                <w:rFonts w:ascii="Calibri" w:hAnsi="Calibri" w:cs="Calibri"/>
                <w:color w:val="000000"/>
                <w:sz w:val="20"/>
                <w:szCs w:val="20"/>
              </w:rPr>
              <w:t> </w:t>
            </w:r>
            <w:r>
              <w:rPr>
                <w:color w:val="000000"/>
                <w:sz w:val="20"/>
                <w:szCs w:val="20"/>
              </w:rPr>
              <w:t>Balance</w:t>
            </w:r>
            <w:r>
              <w:rPr>
                <w:rFonts w:ascii="Calibri" w:hAnsi="Calibri" w:cs="Calibri"/>
                <w:color w:val="000000"/>
                <w:sz w:val="20"/>
                <w:szCs w:val="20"/>
              </w:rPr>
              <w:t> </w:t>
            </w:r>
            <w:r>
              <w:rPr>
                <w:color w:val="000000"/>
                <w:sz w:val="20"/>
                <w:szCs w:val="20"/>
              </w:rPr>
              <w:t>Plan (2)</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15</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286,878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LTIP (3)</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379,302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7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RUP (4)</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3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1,212,964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7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3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Douglas T. Brinkworth</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Cash Balance Plan (2)</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6</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176,501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LTIP (3)</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348,108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RUP (4)</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1,171,768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2"/>
                <w:szCs w:val="12"/>
              </w:rPr>
            </w:pPr>
            <w:r>
              <w:rPr>
                <w:color w:val="000000"/>
                <w:sz w:val="12"/>
                <w:szCs w:val="1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2"/>
                <w:szCs w:val="12"/>
              </w:rPr>
            </w:pPr>
            <w:r>
              <w:rPr>
                <w:color w:val="000000"/>
                <w:sz w:val="12"/>
                <w:szCs w:val="12"/>
              </w:rPr>
              <w:t> </w:t>
            </w:r>
          </w:p>
        </w:tc>
      </w:tr>
      <w:tr w:rsidR="00000000">
        <w:trPr>
          <w:divId w:val="1063984079"/>
        </w:trPr>
        <w:tc>
          <w:tcPr>
            <w:tcW w:w="20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Paul Abel (1)</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N/A</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LTIP (3)</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337,752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3984079"/>
        </w:trPr>
        <w:tc>
          <w:tcPr>
            <w:tcW w:w="20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RUP (4)</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N/A</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1,270,190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ind w:left="476" w:hanging="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86154873"/>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sz w:val="20"/>
                <w:szCs w:val="20"/>
              </w:rPr>
              <w:t>Because Mr. Stivala, Mr. Kuglin, and Mr. Abel commenced employment with the Partnership after January 1, 2000, the date on which the Cash Balance Plan was closed to new participants, they do not participate in the Cash Balance Plan.</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For more informat</w:t>
            </w:r>
            <w:r>
              <w:rPr>
                <w:sz w:val="20"/>
                <w:szCs w:val="20"/>
              </w:rPr>
              <w:t>ion on the Cash Balance Plan, refer to the subheading “Pension Plan” in the “Compensation Discussion and Analysis.”</w:t>
            </w:r>
          </w:p>
        </w:tc>
      </w:tr>
    </w:tbl>
    <w:p w:rsidR="00000000" w:rsidRDefault="00827839">
      <w:pPr>
        <w:divId w:val="213201761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3201761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(3)</w:t>
            </w:r>
          </w:p>
        </w:tc>
        <w:tc>
          <w:tcPr>
            <w:tcW w:w="0" w:type="auto"/>
            <w:hideMark/>
          </w:tcPr>
          <w:p w:rsidR="00000000" w:rsidRDefault="00827839">
            <w:pPr>
              <w:pStyle w:val="a3"/>
              <w:spacing w:before="120" w:beforeAutospacing="0" w:after="0" w:afterAutospacing="0"/>
              <w:jc w:val="both"/>
              <w:rPr>
                <w:sz w:val="20"/>
                <w:szCs w:val="20"/>
              </w:rPr>
            </w:pPr>
            <w:r>
              <w:rPr>
                <w:spacing w:val="-3"/>
                <w:sz w:val="20"/>
                <w:szCs w:val="20"/>
              </w:rPr>
              <w:t>On September 28, 2019, Mr. Boyd, Mr. Brinkworth and Mr. Abel were the only named executive officers who met the retirement criteria of</w:t>
            </w:r>
            <w:r>
              <w:rPr>
                <w:spacing w:val="-3"/>
                <w:sz w:val="20"/>
                <w:szCs w:val="20"/>
              </w:rPr>
              <w:t xml:space="preserve"> the LTIP.  For such participants, outstanding but unvested awards under the LTIP become fully vested.  However, payouts on these awards are deferred until the conclusion of each outstanding award’s three-year measurement period, based on the outcome of th</w:t>
            </w:r>
            <w:r>
              <w:rPr>
                <w:spacing w:val="-3"/>
                <w:sz w:val="20"/>
                <w:szCs w:val="20"/>
              </w:rPr>
              <w:t>e distributable cash flow measurement for the 2019 and 2018 awards.  The numbers reported on these lines represent the target payout of Mr. Boyd’s, Mr. Brinkworth’s and Mr. Abel’s outstanding fiscal 2019 and 2018 awards under the LTIP.  Because the ultimat</w:t>
            </w:r>
            <w:r>
              <w:rPr>
                <w:spacing w:val="-3"/>
                <w:sz w:val="20"/>
                <w:szCs w:val="20"/>
              </w:rPr>
              <w:t>e payout, if any, is predicated on the trading prices of the Partnership’s Common Units at the end of the three-year measurement period and the relative distribution coverage for the respective three-year measurement period, the value reported is not indic</w:t>
            </w:r>
            <w:r>
              <w:rPr>
                <w:spacing w:val="-3"/>
                <w:sz w:val="20"/>
                <w:szCs w:val="20"/>
              </w:rPr>
              <w:t>ative of the value that could be realized, if any, in the future upon vesting.</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(4)</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On September 28, 2019, Mr. Boyd, Mr. Brinkworth and Mr. Abel were the only named executive officers who met the retirement criteria of the RUP (i.e., none of their awards </w:t>
            </w:r>
            <w:r>
              <w:rPr>
                <w:sz w:val="20"/>
                <w:szCs w:val="20"/>
              </w:rPr>
              <w:t xml:space="preserve">were granted under RUP-2).  For more information on this and the retirement provisions, refer to the subheading “Restricted Unit Plans” in the “Compensation Discussion and Analysis.”  For participants who meet the retirement criteria, upon retirement, all </w:t>
            </w:r>
            <w:r>
              <w:rPr>
                <w:sz w:val="20"/>
                <w:szCs w:val="20"/>
              </w:rPr>
              <w:t>RUP awards vest six months and one day after retirement.</w:t>
            </w:r>
          </w:p>
        </w:tc>
      </w:tr>
    </w:tbl>
    <w:p w:rsidR="00000000" w:rsidRDefault="00827839">
      <w:pPr>
        <w:pStyle w:val="a3"/>
        <w:spacing w:before="120" w:beforeAutospacing="0" w:after="0" w:afterAutospacing="0"/>
        <w:ind w:left="476" w:hanging="556"/>
        <w:jc w:val="both"/>
        <w:rPr>
          <w:sz w:val="20"/>
          <w:szCs w:val="20"/>
        </w:rPr>
      </w:pPr>
      <w:r>
        <w:rPr>
          <w:sz w:val="20"/>
          <w:szCs w:val="20"/>
        </w:rPr>
        <w:t> </w:t>
      </w:r>
    </w:p>
    <w:p w:rsidR="00000000" w:rsidRDefault="00827839">
      <w:pPr>
        <w:pStyle w:val="a3"/>
        <w:spacing w:before="0" w:beforeAutospacing="0" w:after="0" w:afterAutospacing="0"/>
        <w:rPr>
          <w:sz w:val="20"/>
          <w:szCs w:val="20"/>
        </w:rPr>
      </w:pP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74</w:t>
      </w:r>
    </w:p>
    <w:p w:rsidR="00000000" w:rsidRDefault="00827839">
      <w:pPr>
        <w:rPr>
          <w:rFonts w:eastAsia="Times New Roman"/>
        </w:rPr>
      </w:pPr>
      <w:r>
        <w:rPr>
          <w:rFonts w:eastAsia="Times New Roman"/>
        </w:rPr>
        <w:pict>
          <v:rect id="_x0000_i110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20" w:beforeAutospacing="0" w:after="0" w:afterAutospacing="0"/>
        <w:jc w:val="both"/>
        <w:rPr>
          <w:b/>
          <w:bCs/>
          <w:sz w:val="20"/>
          <w:szCs w:val="20"/>
        </w:rPr>
      </w:pPr>
      <w:r>
        <w:rPr>
          <w:b/>
          <w:bCs/>
          <w:sz w:val="20"/>
          <w:szCs w:val="20"/>
        </w:rPr>
        <w:t>Potential Payments Upon Termination</w:t>
      </w:r>
    </w:p>
    <w:p w:rsidR="00000000" w:rsidRDefault="00827839">
      <w:pPr>
        <w:pStyle w:val="a3"/>
        <w:spacing w:before="120" w:beforeAutospacing="0" w:after="0" w:afterAutospacing="0"/>
        <w:ind w:firstLine="556"/>
        <w:jc w:val="both"/>
        <w:rPr>
          <w:sz w:val="20"/>
          <w:szCs w:val="20"/>
        </w:rPr>
      </w:pPr>
      <w:r>
        <w:rPr>
          <w:sz w:val="20"/>
          <w:szCs w:val="20"/>
        </w:rPr>
        <w:t>The following table sets forth certain information containing potential payments to the named executive officers in accordan</w:t>
      </w:r>
      <w:r>
        <w:rPr>
          <w:sz w:val="20"/>
          <w:szCs w:val="20"/>
        </w:rPr>
        <w:t>ce with the provisions of the Severance Protection Plan, the RUP and the LTIP for the circumstances listed in the table assuming a September 28, 2019 termination date.  For more information on severance and change of control payments, refer to the subheadi</w:t>
      </w:r>
      <w:r>
        <w:rPr>
          <w:sz w:val="20"/>
          <w:szCs w:val="20"/>
        </w:rPr>
        <w:t>ngs “Severance Benefits” and “Change of Control” above.</w:t>
      </w:r>
    </w:p>
    <w:p w:rsidR="00000000" w:rsidRDefault="0082783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90"/>
        <w:gridCol w:w="110"/>
        <w:gridCol w:w="110"/>
        <w:gridCol w:w="909"/>
        <w:gridCol w:w="75"/>
        <w:gridCol w:w="110"/>
        <w:gridCol w:w="110"/>
        <w:gridCol w:w="909"/>
        <w:gridCol w:w="75"/>
        <w:gridCol w:w="110"/>
        <w:gridCol w:w="110"/>
        <w:gridCol w:w="909"/>
        <w:gridCol w:w="75"/>
        <w:gridCol w:w="110"/>
        <w:gridCol w:w="110"/>
        <w:gridCol w:w="909"/>
        <w:gridCol w:w="75"/>
      </w:tblGrid>
      <w:tr w:rsidR="00000000">
        <w:trPr>
          <w:divId w:val="693724284"/>
        </w:trPr>
        <w:tc>
          <w:tcPr>
            <w:tcW w:w="2105"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Executive Payments and Benefits Upon Termination</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Death</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Disability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Involuntary Termination Without Cause by the Partnership or by the Executive for Good Reason without a Change of Control</w:t>
            </w:r>
            <w:r>
              <w:rPr>
                <w:b/>
                <w:bCs/>
                <w:color w:val="000000"/>
                <w:sz w:val="16"/>
                <w:szCs w:val="16"/>
              </w:rPr>
              <w:t xml:space="preserve"> Event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Involuntary Termination Without Cause</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by the</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Partnership or</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by the Executive for Good Reason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with a Change of Control Event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93724284"/>
        </w:trPr>
        <w:tc>
          <w:tcPr>
            <w:tcW w:w="2105"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Michael A. Stivala</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Cash Compensation (1) (2) (3) (4)</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550,000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1,650,000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Fiscal 2019, 2018 and</w:t>
            </w:r>
          </w:p>
          <w:p w:rsidR="00000000" w:rsidRDefault="00827839">
            <w:pPr>
              <w:pStyle w:val="a3"/>
              <w:spacing w:before="0" w:beforeAutospacing="0" w:after="0" w:afterAutospacing="0"/>
              <w:rPr>
                <w:color w:val="000000"/>
                <w:sz w:val="19"/>
                <w:szCs w:val="19"/>
              </w:rPr>
            </w:pPr>
            <w:r>
              <w:rPr>
                <w:color w:val="000000"/>
                <w:sz w:val="19"/>
                <w:szCs w:val="19"/>
              </w:rPr>
              <w:t>   2017 LTIP Awards (5)</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1,296,041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Outstanding RUP Awards (6)</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2,004,053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867,296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2,004,053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Medical Benefits (3)</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24,928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b/>
                <w:bCs/>
                <w:color w:val="000000"/>
                <w:sz w:val="19"/>
                <w:szCs w:val="19"/>
              </w:rPr>
            </w:pPr>
            <w:r>
              <w:rPr>
                <w:b/>
                <w:bCs/>
                <w:color w:val="000000"/>
                <w:sz w:val="19"/>
                <w:szCs w:val="19"/>
              </w:rPr>
              <w:t>Total</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2,004,053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867,296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574,928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4,950,094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Michael A. Kuglin</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Cash Compensation </w:t>
            </w:r>
            <w:r>
              <w:rPr>
                <w:color w:val="000000"/>
                <w:sz w:val="19"/>
                <w:szCs w:val="19"/>
              </w:rPr>
              <w:t>(1) (2) (3) (4)</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365,000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985,500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Fiscal 2019, 2018 and</w:t>
            </w:r>
          </w:p>
          <w:p w:rsidR="00000000" w:rsidRDefault="00827839">
            <w:pPr>
              <w:pStyle w:val="a3"/>
              <w:spacing w:before="0" w:beforeAutospacing="0" w:after="0" w:afterAutospacing="0"/>
              <w:rPr>
                <w:color w:val="000000"/>
                <w:sz w:val="19"/>
                <w:szCs w:val="19"/>
              </w:rPr>
            </w:pPr>
            <w:r>
              <w:rPr>
                <w:color w:val="000000"/>
                <w:sz w:val="19"/>
                <w:szCs w:val="19"/>
              </w:rPr>
              <w:t>   2017 LTIP Awards (5)</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687,062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Outstanding RUP Awards (6)</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1,245,811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574,075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1,245,811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Medical Benefits (3)</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22,723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b/>
                <w:bCs/>
                <w:color w:val="000000"/>
                <w:sz w:val="19"/>
                <w:szCs w:val="19"/>
              </w:rPr>
            </w:pPr>
            <w:r>
              <w:rPr>
                <w:b/>
                <w:bCs/>
                <w:color w:val="000000"/>
                <w:sz w:val="19"/>
                <w:szCs w:val="19"/>
              </w:rPr>
              <w:t>Total</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1,245,811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574,075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387,723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2,918,373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Steven C. Boyd</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Cash Compensation (1) (2) (3) (4)</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365,000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985,500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Fiscal 2019, 2018 and</w:t>
            </w:r>
          </w:p>
          <w:p w:rsidR="00000000" w:rsidRDefault="00827839">
            <w:pPr>
              <w:pStyle w:val="a3"/>
              <w:spacing w:before="0" w:beforeAutospacing="0" w:after="0" w:afterAutospacing="0"/>
              <w:rPr>
                <w:color w:val="000000"/>
                <w:sz w:val="19"/>
                <w:szCs w:val="19"/>
              </w:rPr>
            </w:pPr>
            <w:r>
              <w:rPr>
                <w:color w:val="000000"/>
                <w:sz w:val="19"/>
                <w:szCs w:val="19"/>
              </w:rPr>
              <w:t>   2017 LTIP Awards (5)</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687,062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Outstanding RUP Awards (6)</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1,212,964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1,212,964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1,212,964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1,212,964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Medical Benefits (3)</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23,467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b/>
                <w:bCs/>
                <w:color w:val="000000"/>
                <w:sz w:val="19"/>
                <w:szCs w:val="19"/>
              </w:rPr>
            </w:pPr>
            <w:r>
              <w:rPr>
                <w:b/>
                <w:bCs/>
                <w:color w:val="000000"/>
                <w:sz w:val="19"/>
                <w:szCs w:val="19"/>
              </w:rPr>
              <w:t>Total</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1,212,964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1,212,964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1,601,431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2,885,526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Douglas T. Brinkworth</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Cash Compensation (1) (2) (3) (4)</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335,000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904,500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Fiscal 2019, 2018 and</w:t>
            </w:r>
          </w:p>
          <w:p w:rsidR="00000000" w:rsidRDefault="00827839">
            <w:pPr>
              <w:pStyle w:val="a3"/>
              <w:spacing w:before="0" w:beforeAutospacing="0" w:after="0" w:afterAutospacing="0"/>
              <w:rPr>
                <w:color w:val="000000"/>
                <w:sz w:val="19"/>
                <w:szCs w:val="19"/>
              </w:rPr>
            </w:pPr>
            <w:r>
              <w:rPr>
                <w:color w:val="000000"/>
                <w:sz w:val="19"/>
                <w:szCs w:val="19"/>
              </w:rPr>
              <w:t>   2017 LTIP Awards (5)</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634,557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Outstanding RUP Awards (6)</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1,171,768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1,171,768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1,171,768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1,171,768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Medical Benefits (3)</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23,230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b/>
                <w:bCs/>
                <w:color w:val="000000"/>
                <w:sz w:val="19"/>
                <w:szCs w:val="19"/>
              </w:rPr>
            </w:pPr>
            <w:r>
              <w:rPr>
                <w:b/>
                <w:bCs/>
                <w:color w:val="000000"/>
                <w:sz w:val="19"/>
                <w:szCs w:val="19"/>
              </w:rPr>
              <w:t>Total</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1,171,768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1,171,768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1,529,998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2,710,825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Paul Abel</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Cash Compensation (1) (2) (3) (4)</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325,000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877,500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Fiscal 2019, 2018 and</w:t>
            </w:r>
          </w:p>
          <w:p w:rsidR="00000000" w:rsidRDefault="00827839">
            <w:pPr>
              <w:pStyle w:val="a3"/>
              <w:spacing w:before="0" w:beforeAutospacing="0" w:after="0" w:afterAutospacing="0"/>
              <w:rPr>
                <w:color w:val="000000"/>
                <w:sz w:val="19"/>
                <w:szCs w:val="19"/>
              </w:rPr>
            </w:pPr>
            <w:r>
              <w:rPr>
                <w:color w:val="000000"/>
                <w:sz w:val="19"/>
                <w:szCs w:val="19"/>
              </w:rPr>
              <w:t>   2017 LTIP Awards (5)</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604,759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Accelerated Vesting of Outstanding RUP Awards (6)</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1,270,190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1,270,190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1,270,190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1,270,190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Medical Benefits (3)</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9,386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r>
      <w:tr w:rsidR="00000000">
        <w:trPr>
          <w:divId w:val="693724284"/>
        </w:trPr>
        <w:tc>
          <w:tcPr>
            <w:tcW w:w="210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ind w:left="274"/>
              <w:rPr>
                <w:b/>
                <w:bCs/>
                <w:color w:val="000000"/>
                <w:sz w:val="19"/>
                <w:szCs w:val="19"/>
              </w:rPr>
            </w:pPr>
            <w:r>
              <w:rPr>
                <w:b/>
                <w:bCs/>
                <w:color w:val="000000"/>
                <w:sz w:val="19"/>
                <w:szCs w:val="19"/>
              </w:rPr>
              <w:t>Total</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1,270,190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1,270,190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1,604,576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7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2,752,449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91133857"/>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color w:val="000000"/>
                <w:sz w:val="20"/>
                <w:szCs w:val="20"/>
              </w:rPr>
              <w:t>I</w:t>
            </w:r>
            <w:r>
              <w:rPr>
                <w:color w:val="000000"/>
                <w:sz w:val="20"/>
                <w:szCs w:val="20"/>
              </w:rPr>
              <w:t>n the event of death, the named executive officer’s estate is entitled to a payment equal to the decedent’s earned but unpaid salary and pro-rata cash bonus.</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75</w:t>
      </w:r>
    </w:p>
    <w:p w:rsidR="00000000" w:rsidRDefault="00827839">
      <w:pPr>
        <w:rPr>
          <w:rFonts w:eastAsia="Times New Roman"/>
        </w:rPr>
      </w:pPr>
      <w:r>
        <w:rPr>
          <w:rFonts w:eastAsia="Times New Roman"/>
        </w:rPr>
        <w:pict>
          <v:rect id="_x0000_i110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73913436"/>
        </w:trPr>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color w:val="000000"/>
                <w:sz w:val="20"/>
                <w:szCs w:val="20"/>
              </w:rPr>
              <w:t>In the event of disability, the named executive officer is entitled to a payment equal to his earned but unpaid salary and pro-rata cash bonus.  </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(3)</w:t>
            </w:r>
          </w:p>
        </w:tc>
        <w:tc>
          <w:tcPr>
            <w:tcW w:w="0" w:type="auto"/>
            <w:hideMark/>
          </w:tcPr>
          <w:p w:rsidR="00000000" w:rsidRDefault="00827839">
            <w:pPr>
              <w:pStyle w:val="a3"/>
              <w:spacing w:before="120" w:beforeAutospacing="0" w:after="0" w:afterAutospacing="0"/>
              <w:jc w:val="both"/>
              <w:rPr>
                <w:sz w:val="20"/>
                <w:szCs w:val="20"/>
              </w:rPr>
            </w:pPr>
            <w:r>
              <w:rPr>
                <w:color w:val="000000"/>
                <w:sz w:val="20"/>
                <w:szCs w:val="20"/>
              </w:rPr>
              <w:t xml:space="preserve">Any </w:t>
            </w:r>
            <w:r>
              <w:rPr>
                <w:color w:val="000000"/>
                <w:sz w:val="20"/>
                <w:szCs w:val="20"/>
              </w:rPr>
              <w:t>severance benefits, unrelated to a change of control event, payable to these officers would be determined by the Committee on a case-by-case basis in accordance with prior treatment of other similarly situated executives and may, as a result, differ substa</w:t>
            </w:r>
            <w:r>
              <w:rPr>
                <w:color w:val="000000"/>
                <w:sz w:val="20"/>
                <w:szCs w:val="20"/>
              </w:rPr>
              <w:t>ntially from this hypothetical presentation.  For purposes of this table, we have assumed that each of these named executive officers would, upon termination of employment without cause or for resignation for good reason, receive accrued salary and benefit</w:t>
            </w:r>
            <w:r>
              <w:rPr>
                <w:color w:val="000000"/>
                <w:sz w:val="20"/>
                <w:szCs w:val="20"/>
              </w:rPr>
              <w:t>s through the date of termination plus one times annual salary and continued participation, at active employee rates, in our health insurance plans for one year.  </w:t>
            </w:r>
          </w:p>
        </w:tc>
      </w:tr>
    </w:tbl>
    <w:p w:rsidR="00000000" w:rsidRDefault="00827839">
      <w:pPr>
        <w:divId w:val="126179330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61793308"/>
        </w:trPr>
        <w:tc>
          <w:tcPr>
            <w:tcW w:w="227" w:type="pct"/>
            <w:noWrap/>
            <w:hideMark/>
          </w:tcPr>
          <w:p w:rsidR="00000000" w:rsidRDefault="00827839">
            <w:pPr>
              <w:pStyle w:val="a3"/>
              <w:spacing w:before="120" w:beforeAutospacing="0" w:after="0" w:afterAutospacing="0"/>
              <w:jc w:val="both"/>
              <w:rPr>
                <w:sz w:val="20"/>
                <w:szCs w:val="20"/>
              </w:rPr>
            </w:pPr>
            <w:r>
              <w:rPr>
                <w:sz w:val="20"/>
                <w:szCs w:val="20"/>
              </w:rPr>
              <w:t>(4)</w:t>
            </w:r>
          </w:p>
        </w:tc>
        <w:tc>
          <w:tcPr>
            <w:tcW w:w="0" w:type="auto"/>
            <w:hideMark/>
          </w:tcPr>
          <w:p w:rsidR="00000000" w:rsidRDefault="00827839">
            <w:pPr>
              <w:pStyle w:val="a3"/>
              <w:spacing w:before="120" w:beforeAutospacing="0" w:after="0" w:afterAutospacing="0"/>
              <w:jc w:val="both"/>
              <w:rPr>
                <w:sz w:val="20"/>
                <w:szCs w:val="20"/>
              </w:rPr>
            </w:pPr>
            <w:r>
              <w:rPr>
                <w:color w:val="000000"/>
                <w:sz w:val="20"/>
                <w:szCs w:val="20"/>
              </w:rPr>
              <w:t>In the event of a change of control followed by a termination without cause or by a re</w:t>
            </w:r>
            <w:r>
              <w:rPr>
                <w:color w:val="000000"/>
                <w:sz w:val="20"/>
                <w:szCs w:val="20"/>
              </w:rPr>
              <w:t>signation with good reason, each of the named executive officers will receive 78 weeks of base pay plus a sum equal to their annual target cash bonus divided by 52 and multiplied by 78 in accordance with the terms of the Severance Protection Plan.  For mor</w:t>
            </w:r>
            <w:r>
              <w:rPr>
                <w:color w:val="000000"/>
                <w:sz w:val="20"/>
                <w:szCs w:val="20"/>
              </w:rPr>
              <w:t>e information on the Severance Protection Plan, refer to the subheading “Change of Control” in the “Compensation Discussion and Analysis.”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(5)</w:t>
            </w:r>
          </w:p>
        </w:tc>
        <w:tc>
          <w:tcPr>
            <w:tcW w:w="0" w:type="auto"/>
            <w:hideMark/>
          </w:tcPr>
          <w:p w:rsidR="00000000" w:rsidRDefault="00827839">
            <w:pPr>
              <w:pStyle w:val="a3"/>
              <w:spacing w:before="120" w:beforeAutospacing="0" w:after="0" w:afterAutospacing="0"/>
              <w:jc w:val="both"/>
              <w:rPr>
                <w:sz w:val="20"/>
                <w:szCs w:val="20"/>
              </w:rPr>
            </w:pPr>
            <w:r>
              <w:rPr>
                <w:color w:val="000000"/>
                <w:sz w:val="20"/>
                <w:szCs w:val="20"/>
              </w:rPr>
              <w:t>In the event of a change of control, all awards under the LTIP will vest immediately regardless of whether term</w:t>
            </w:r>
            <w:r>
              <w:rPr>
                <w:color w:val="000000"/>
                <w:sz w:val="20"/>
                <w:szCs w:val="20"/>
              </w:rPr>
              <w:t>ination immediately follows.  If a change of control event occurred at the conclusion of fiscal 2019, payments would have been equal to 150% of the cash value of a participant’s unvested phantom units plus a sum equal to 150% of a participant’s unvested ph</w:t>
            </w:r>
            <w:r>
              <w:rPr>
                <w:color w:val="000000"/>
                <w:sz w:val="20"/>
                <w:szCs w:val="20"/>
              </w:rPr>
              <w:t>antom units multiplied by an amount equal to the cumulative, per-Common Unit distribution from the beginning of an unvested award’s three-year measurement period through the date on which the change of control occurred. If a change of control event occurre</w:t>
            </w:r>
            <w:r>
              <w:rPr>
                <w:color w:val="000000"/>
                <w:sz w:val="20"/>
                <w:szCs w:val="20"/>
              </w:rPr>
              <w:t xml:space="preserve">d on September 28, 2019, the fiscal 2019, fiscal 2018 and fiscal 2017 awards would have been subject to this treatment.   For more information, refer to the subheading “Long-Term Incentive Plan” in the “Compensation Discussion and Analysis.”   </w:t>
            </w:r>
          </w:p>
        </w:tc>
      </w:tr>
    </w:tbl>
    <w:p w:rsidR="00000000" w:rsidRDefault="00827839">
      <w:pPr>
        <w:pStyle w:val="a3"/>
        <w:spacing w:before="240" w:beforeAutospacing="0" w:after="0" w:afterAutospacing="0"/>
        <w:ind w:left="476"/>
        <w:jc w:val="both"/>
        <w:rPr>
          <w:sz w:val="20"/>
          <w:szCs w:val="20"/>
        </w:rPr>
      </w:pPr>
      <w:r>
        <w:rPr>
          <w:sz w:val="20"/>
          <w:szCs w:val="20"/>
        </w:rPr>
        <w:t>In the event of death, the inability to continue employment because of permanent disability, or a termination without cause or a good reason resignation unconnected to a change of control event, awards will vest in accordance with the normal vesting schedu</w:t>
      </w:r>
      <w:r>
        <w:rPr>
          <w:sz w:val="20"/>
          <w:szCs w:val="20"/>
        </w:rPr>
        <w:t>le and will be subject to the same requirements as awards held by individuals still employed by us and will be subject to the same risks as awards held by all other participants.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04746626"/>
        </w:trPr>
        <w:tc>
          <w:tcPr>
            <w:tcW w:w="227" w:type="pct"/>
            <w:noWrap/>
            <w:hideMark/>
          </w:tcPr>
          <w:p w:rsidR="00000000" w:rsidRDefault="00827839">
            <w:pPr>
              <w:pStyle w:val="a3"/>
              <w:spacing w:before="120" w:beforeAutospacing="0" w:after="0" w:afterAutospacing="0"/>
              <w:jc w:val="both"/>
              <w:rPr>
                <w:sz w:val="20"/>
                <w:szCs w:val="20"/>
              </w:rPr>
            </w:pPr>
            <w:r>
              <w:rPr>
                <w:sz w:val="20"/>
                <w:szCs w:val="20"/>
              </w:rPr>
              <w:t>(6)</w:t>
            </w:r>
          </w:p>
        </w:tc>
        <w:tc>
          <w:tcPr>
            <w:tcW w:w="0" w:type="auto"/>
            <w:hideMark/>
          </w:tcPr>
          <w:p w:rsidR="00000000" w:rsidRDefault="00827839">
            <w:pPr>
              <w:pStyle w:val="a3"/>
              <w:spacing w:before="120" w:beforeAutospacing="0" w:after="0" w:afterAutospacing="0"/>
              <w:jc w:val="both"/>
              <w:rPr>
                <w:sz w:val="20"/>
                <w:szCs w:val="20"/>
              </w:rPr>
            </w:pPr>
            <w:r>
              <w:rPr>
                <w:sz w:val="20"/>
                <w:szCs w:val="20"/>
              </w:rPr>
              <w:t>Effective November 13, 2012, the Committee amended the RUP document to pr</w:t>
            </w:r>
            <w:r>
              <w:rPr>
                <w:sz w:val="20"/>
                <w:szCs w:val="20"/>
              </w:rPr>
              <w:t>ovide for the vesting of all unvested awards held by a participant at the time of his or her death.  If a recipient of a RUP award becomes permanently disabled, only those awards that have been held for at least one year on the date that the employee’s emp</w:t>
            </w:r>
            <w:r>
              <w:rPr>
                <w:sz w:val="20"/>
                <w:szCs w:val="20"/>
              </w:rPr>
              <w:t>loyment is terminated as a result of his or her permanent disability will immediately vest; all awards held by the recipient for less than one year will be forfeited by the recipient.  Because each of our named executive officers received a RUP award durin</w:t>
            </w:r>
            <w:r>
              <w:rPr>
                <w:sz w:val="20"/>
                <w:szCs w:val="20"/>
              </w:rPr>
              <w:t>g fiscal 2019, if any or all of the named executive officers had become permanently disabled on September 28, 2019, the following quantities of restricted units would have vested:  Stivala, 36,464; Kuglin, 24,136; Boyd, 50,997; Brinkworth, 49,265 and Abel,</w:t>
            </w:r>
            <w:r>
              <w:rPr>
                <w:sz w:val="20"/>
                <w:szCs w:val="20"/>
              </w:rPr>
              <w:t xml:space="preserve"> 53,403.  The following quantities would have been forfeited:  Stivala, 47,793 and Kuglin, 28,242.  Because all of Mr. Boyd’s, Mr. Brinkworth’s and Mr. Abel’s unvested awards were subject to the plan’s retirement provisions at the conclusion of fiscal 2019</w:t>
            </w:r>
            <w:r>
              <w:rPr>
                <w:sz w:val="20"/>
                <w:szCs w:val="20"/>
              </w:rPr>
              <w:t>, if Mr. Boyd, Mr. Brinkworth or Mr. Abel had become permanently disabled on September 28, 2019, none of their unvested awards would have been forfeited.  </w:t>
            </w:r>
          </w:p>
        </w:tc>
      </w:tr>
    </w:tbl>
    <w:p w:rsidR="00000000" w:rsidRDefault="00827839">
      <w:pPr>
        <w:pStyle w:val="a3"/>
        <w:spacing w:before="40" w:beforeAutospacing="0" w:after="0" w:afterAutospacing="0"/>
        <w:jc w:val="both"/>
        <w:rPr>
          <w:sz w:val="12"/>
          <w:szCs w:val="12"/>
        </w:rPr>
      </w:pPr>
      <w:r>
        <w:rPr>
          <w:sz w:val="12"/>
          <w:szCs w:val="12"/>
        </w:rPr>
        <w:t> </w:t>
      </w:r>
    </w:p>
    <w:p w:rsidR="00000000" w:rsidRDefault="00827839">
      <w:pPr>
        <w:pStyle w:val="a3"/>
        <w:spacing w:before="40" w:beforeAutospacing="0" w:after="0" w:afterAutospacing="0"/>
        <w:ind w:left="476"/>
        <w:jc w:val="both"/>
        <w:rPr>
          <w:color w:val="000000"/>
          <w:sz w:val="20"/>
          <w:szCs w:val="20"/>
        </w:rPr>
      </w:pPr>
      <w:r>
        <w:rPr>
          <w:color w:val="000000"/>
          <w:sz w:val="20"/>
          <w:szCs w:val="20"/>
        </w:rPr>
        <w:t>Under circumstances unrelated to a change of control, if a RUP award recipient’s employment is te</w:t>
      </w:r>
      <w:r>
        <w:rPr>
          <w:color w:val="000000"/>
          <w:sz w:val="20"/>
          <w:szCs w:val="20"/>
        </w:rPr>
        <w:t>rminated without cause or he or she resigns for good reason, any RUP awards held by such recipient will be forfeited.  Because all of Mr. Boyd’s, Mr. Brinkworth’s and Mr. Abel’s unvested awards were subject to the retirement provisions on the last day of f</w:t>
      </w:r>
      <w:r>
        <w:rPr>
          <w:color w:val="000000"/>
          <w:sz w:val="20"/>
          <w:szCs w:val="20"/>
        </w:rPr>
        <w:t>iscal 2019, if Mr. Boyd, Mr. Brinkworth or Mr. Abel had been terminated without cause on September 28, 2019, none of their unvested awards would have been forfeited.</w:t>
      </w:r>
    </w:p>
    <w:p w:rsidR="00000000" w:rsidRDefault="00827839">
      <w:pPr>
        <w:pStyle w:val="a3"/>
        <w:spacing w:before="40" w:beforeAutospacing="0" w:after="0" w:afterAutospacing="0"/>
        <w:jc w:val="both"/>
        <w:rPr>
          <w:sz w:val="12"/>
          <w:szCs w:val="12"/>
        </w:rPr>
      </w:pPr>
      <w:r>
        <w:rPr>
          <w:sz w:val="12"/>
          <w:szCs w:val="12"/>
        </w:rPr>
        <w:t> </w:t>
      </w:r>
    </w:p>
    <w:p w:rsidR="00000000" w:rsidRDefault="00827839">
      <w:pPr>
        <w:pStyle w:val="a3"/>
        <w:spacing w:before="40" w:beforeAutospacing="0" w:after="0" w:afterAutospacing="0"/>
        <w:ind w:left="476"/>
        <w:jc w:val="both"/>
        <w:rPr>
          <w:color w:val="000000"/>
          <w:sz w:val="20"/>
          <w:szCs w:val="20"/>
        </w:rPr>
      </w:pPr>
      <w:r>
        <w:rPr>
          <w:color w:val="000000"/>
          <w:sz w:val="20"/>
          <w:szCs w:val="20"/>
        </w:rPr>
        <w:t>In the event of a change of control, as defined in the RUP document, all unvested RUP aw</w:t>
      </w:r>
      <w:r>
        <w:rPr>
          <w:color w:val="000000"/>
          <w:sz w:val="20"/>
          <w:szCs w:val="20"/>
        </w:rPr>
        <w:t>ards will vest immediately on the date the change of control is consummated, regardless of the holding period and regardless of whether the recipient’s employment is terminated.  </w:t>
      </w:r>
    </w:p>
    <w:p w:rsidR="00000000" w:rsidRDefault="00827839">
      <w:pPr>
        <w:pStyle w:val="a3"/>
        <w:spacing w:before="360" w:beforeAutospacing="0" w:after="0" w:afterAutospacing="0"/>
        <w:jc w:val="both"/>
        <w:rPr>
          <w:b/>
          <w:bCs/>
          <w:sz w:val="20"/>
          <w:szCs w:val="20"/>
        </w:rPr>
      </w:pPr>
      <w:r>
        <w:rPr>
          <w:b/>
          <w:bCs/>
          <w:sz w:val="20"/>
          <w:szCs w:val="20"/>
        </w:rPr>
        <w:t>CEO PAY RATIO</w:t>
      </w:r>
    </w:p>
    <w:p w:rsidR="00000000" w:rsidRDefault="00827839">
      <w:pPr>
        <w:pStyle w:val="a3"/>
        <w:spacing w:before="120" w:beforeAutospacing="0" w:after="0" w:afterAutospacing="0"/>
        <w:ind w:firstLine="556"/>
        <w:jc w:val="both"/>
        <w:rPr>
          <w:sz w:val="20"/>
          <w:szCs w:val="20"/>
        </w:rPr>
      </w:pPr>
      <w:r>
        <w:rPr>
          <w:sz w:val="20"/>
          <w:szCs w:val="20"/>
        </w:rPr>
        <w:t>As required by Section 953(b) of the Dodd-Frank Wall Street Re</w:t>
      </w:r>
      <w:r>
        <w:rPr>
          <w:sz w:val="20"/>
          <w:szCs w:val="20"/>
        </w:rPr>
        <w:t>form and Consumer Protection Act, and SEC rules, we are providing the following information about the relationship of the annual total compensation of our employees and the annual total compensation of Mr. Stivala, our President and Chief Executive Officer</w:t>
      </w:r>
      <w:r>
        <w:rPr>
          <w:sz w:val="20"/>
          <w:szCs w:val="20"/>
        </w:rPr>
        <w:t xml:space="preserve"> (the “CEO):</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76</w:t>
      </w:r>
    </w:p>
    <w:p w:rsidR="00000000" w:rsidRDefault="00827839">
      <w:pPr>
        <w:rPr>
          <w:rFonts w:eastAsia="Times New Roman"/>
        </w:rPr>
      </w:pPr>
      <w:r>
        <w:rPr>
          <w:rFonts w:eastAsia="Times New Roman"/>
        </w:rPr>
        <w:pict>
          <v:rect id="_x0000_i110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ind w:firstLine="556"/>
        <w:jc w:val="both"/>
        <w:rPr>
          <w:sz w:val="20"/>
          <w:szCs w:val="20"/>
        </w:rPr>
      </w:pPr>
      <w:r>
        <w:rPr>
          <w:sz w:val="20"/>
          <w:szCs w:val="20"/>
        </w:rPr>
        <w:t>For fiscal 2019, our last completed fiscal year: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86359255"/>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annual total compensation of the employee identified at median of our company (other than our CEO), was</w:t>
            </w:r>
            <w:r>
              <w:rPr>
                <w:sz w:val="20"/>
                <w:szCs w:val="20"/>
              </w:rPr>
              <w:t xml:space="preserve"> $61,164;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annual total compensation of the CEO for purposes of determining the CEO Pay Ratio was $2,539,440.</w:t>
            </w:r>
          </w:p>
        </w:tc>
      </w:tr>
    </w:tbl>
    <w:p w:rsidR="00000000" w:rsidRDefault="00827839">
      <w:pPr>
        <w:pStyle w:val="a3"/>
        <w:spacing w:before="240" w:beforeAutospacing="0" w:after="0" w:afterAutospacing="0"/>
        <w:ind w:firstLine="556"/>
        <w:jc w:val="both"/>
        <w:rPr>
          <w:sz w:val="20"/>
          <w:szCs w:val="20"/>
        </w:rPr>
      </w:pPr>
      <w:r>
        <w:rPr>
          <w:sz w:val="20"/>
          <w:szCs w:val="20"/>
        </w:rPr>
        <w:t>Based on this information, for fiscal 2019, the ratio of the annual total compensation of Mr. Stivala, our President and Chief Execu</w:t>
      </w:r>
      <w:r>
        <w:rPr>
          <w:sz w:val="20"/>
          <w:szCs w:val="20"/>
        </w:rPr>
        <w:t>tive Officer, to the median of the annual total compensation of all employees was estimated to be 42 to 1.</w:t>
      </w:r>
    </w:p>
    <w:p w:rsidR="00000000" w:rsidRDefault="00827839">
      <w:pPr>
        <w:pStyle w:val="a3"/>
        <w:spacing w:before="240" w:beforeAutospacing="0" w:after="0" w:afterAutospacing="0"/>
        <w:ind w:firstLine="556"/>
        <w:jc w:val="both"/>
        <w:rPr>
          <w:sz w:val="20"/>
          <w:szCs w:val="20"/>
        </w:rPr>
      </w:pPr>
      <w:r>
        <w:rPr>
          <w:sz w:val="20"/>
          <w:szCs w:val="20"/>
        </w:rPr>
        <w:t>This pay ratio is a reasonable estimate calculated in a manner consistent with Item 402(u) of Regulation S-K based on our payroll and employment reco</w:t>
      </w:r>
      <w:r>
        <w:rPr>
          <w:sz w:val="20"/>
          <w:szCs w:val="20"/>
        </w:rPr>
        <w:t>rds and the methodology described below. The SEC rules for identifying the median compensated employee and calculating the pay ratio based on that employee’s annual total compensation allow companies to adopt a variety of methodologies, to apply certain ex</w:t>
      </w:r>
      <w:r>
        <w:rPr>
          <w:sz w:val="20"/>
          <w:szCs w:val="20"/>
        </w:rPr>
        <w:t>clusions, and to make reasonable estimates and assumptions that reflect their compensation practices. As such, the pay ratio reported by other companies may not be comparable to the pay ratio reported above, as other companies may have different employment</w:t>
      </w:r>
      <w:r>
        <w:rPr>
          <w:sz w:val="20"/>
          <w:szCs w:val="20"/>
        </w:rPr>
        <w:t xml:space="preserve"> and compensation practices and may utilize different methodologies, exclusions, estimates and assumptions in calculating their own pay ratios.</w:t>
      </w:r>
    </w:p>
    <w:p w:rsidR="00000000" w:rsidRDefault="00827839">
      <w:pPr>
        <w:pStyle w:val="a3"/>
        <w:spacing w:before="240" w:beforeAutospacing="0" w:after="0" w:afterAutospacing="0"/>
        <w:ind w:firstLine="556"/>
        <w:jc w:val="both"/>
        <w:rPr>
          <w:sz w:val="20"/>
          <w:szCs w:val="20"/>
        </w:rPr>
      </w:pPr>
      <w:r>
        <w:rPr>
          <w:sz w:val="20"/>
          <w:szCs w:val="20"/>
        </w:rPr>
        <w:t>To identify the median of the annual total compensation of all our employees, as well as to determine the annual</w:t>
      </w:r>
      <w:r>
        <w:rPr>
          <w:sz w:val="20"/>
          <w:szCs w:val="20"/>
        </w:rPr>
        <w:t xml:space="preserve"> total compensation of the “median employee,” the methodology and the material assumptions, adjustments, and estimates that we used were as follows:</w:t>
      </w:r>
    </w:p>
    <w:p w:rsidR="00000000" w:rsidRDefault="00827839">
      <w:pPr>
        <w:pStyle w:val="a3"/>
        <w:spacing w:before="240" w:beforeAutospacing="0" w:after="0" w:afterAutospacing="0"/>
        <w:ind w:firstLine="556"/>
        <w:jc w:val="both"/>
        <w:rPr>
          <w:sz w:val="20"/>
          <w:szCs w:val="20"/>
        </w:rPr>
      </w:pPr>
      <w:r>
        <w:rPr>
          <w:sz w:val="20"/>
          <w:szCs w:val="20"/>
        </w:rPr>
        <w:t xml:space="preserve">We determined that, as of August 15, 2019, our employee population consisted of </w:t>
      </w:r>
      <w:r>
        <w:rPr>
          <w:color w:val="000000"/>
          <w:sz w:val="20"/>
          <w:szCs w:val="20"/>
        </w:rPr>
        <w:t>approximately 3,584 individ</w:t>
      </w:r>
      <w:r>
        <w:rPr>
          <w:color w:val="000000"/>
          <w:sz w:val="20"/>
          <w:szCs w:val="20"/>
        </w:rPr>
        <w:t>uals</w:t>
      </w:r>
      <w:r>
        <w:rPr>
          <w:sz w:val="20"/>
          <w:szCs w:val="20"/>
        </w:rPr>
        <w:t>. We selected August 15, 2019, which is within the last three months of fiscal 2019, as the date upon which we would identify the “median employee” to allow sufficient time to identify the median employee.</w:t>
      </w:r>
    </w:p>
    <w:p w:rsidR="00000000" w:rsidRDefault="00827839">
      <w:pPr>
        <w:pStyle w:val="a3"/>
        <w:spacing w:before="240" w:beforeAutospacing="0" w:after="0" w:afterAutospacing="0"/>
        <w:ind w:firstLine="556"/>
        <w:jc w:val="both"/>
        <w:rPr>
          <w:sz w:val="20"/>
          <w:szCs w:val="20"/>
        </w:rPr>
      </w:pPr>
      <w:r>
        <w:rPr>
          <w:sz w:val="20"/>
          <w:szCs w:val="20"/>
        </w:rPr>
        <w:t>To identify the “median employee” from our emp</w:t>
      </w:r>
      <w:r>
        <w:rPr>
          <w:sz w:val="20"/>
          <w:szCs w:val="20"/>
        </w:rPr>
        <w:t>loyee population, we collected all W-2 wages paid to each employee during the twelve-month period ending on August 15, 2019.  This included each employee’s actual base salary and any overtime, any cash bonuses, the value of any RUP awards that vested durin</w:t>
      </w:r>
      <w:r>
        <w:rPr>
          <w:sz w:val="20"/>
          <w:szCs w:val="20"/>
        </w:rPr>
        <w:t>g the period, and any other miscellaneous forms of W-2-related compensation added to our employees’ earnings record during the period.  In making this determination, we annualized the salaries of all newly hired permanent employees during this period.</w:t>
      </w:r>
    </w:p>
    <w:p w:rsidR="00000000" w:rsidRDefault="00827839">
      <w:pPr>
        <w:pStyle w:val="a3"/>
        <w:spacing w:before="240" w:beforeAutospacing="0" w:after="0" w:afterAutospacing="0"/>
        <w:ind w:firstLine="556"/>
        <w:jc w:val="both"/>
        <w:rPr>
          <w:sz w:val="20"/>
          <w:szCs w:val="20"/>
        </w:rPr>
      </w:pPr>
      <w:r>
        <w:rPr>
          <w:sz w:val="20"/>
          <w:szCs w:val="20"/>
        </w:rPr>
        <w:t>After we identified our median employee, we calculated such employee’s annual total compensation for fiscal 2019 utilizing the same methodology used to determine the CEO’s compensation, resulting in annual total compensation of $61,164.</w:t>
      </w:r>
    </w:p>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160" w:beforeAutospacing="0" w:after="0" w:afterAutospacing="0"/>
        <w:jc w:val="both"/>
        <w:rPr>
          <w:b/>
          <w:bCs/>
          <w:sz w:val="20"/>
          <w:szCs w:val="20"/>
        </w:rPr>
      </w:pPr>
      <w:r>
        <w:rPr>
          <w:b/>
          <w:bCs/>
          <w:sz w:val="20"/>
          <w:szCs w:val="20"/>
        </w:rPr>
        <w:t>SUPERVISORS’ COMP</w:t>
      </w:r>
      <w:r>
        <w:rPr>
          <w:b/>
          <w:bCs/>
          <w:sz w:val="20"/>
          <w:szCs w:val="20"/>
        </w:rPr>
        <w:t>ENSATION</w:t>
      </w:r>
    </w:p>
    <w:p w:rsidR="00000000" w:rsidRDefault="00827839">
      <w:pPr>
        <w:pStyle w:val="a3"/>
        <w:spacing w:before="120" w:beforeAutospacing="0" w:after="0" w:afterAutospacing="0"/>
        <w:ind w:firstLine="556"/>
        <w:jc w:val="both"/>
        <w:rPr>
          <w:sz w:val="20"/>
          <w:szCs w:val="20"/>
        </w:rPr>
      </w:pPr>
      <w:r>
        <w:rPr>
          <w:sz w:val="20"/>
          <w:szCs w:val="20"/>
        </w:rPr>
        <w:t>The following table sets forth the compensation of the non-employee members of the Board of Supervisors of the Partnership during fiscal 2019.</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821"/>
        <w:gridCol w:w="107"/>
        <w:gridCol w:w="115"/>
        <w:gridCol w:w="665"/>
        <w:gridCol w:w="65"/>
        <w:gridCol w:w="91"/>
        <w:gridCol w:w="115"/>
        <w:gridCol w:w="665"/>
        <w:gridCol w:w="65"/>
        <w:gridCol w:w="91"/>
        <w:gridCol w:w="115"/>
        <w:gridCol w:w="665"/>
        <w:gridCol w:w="65"/>
      </w:tblGrid>
      <w:tr w:rsidR="00000000">
        <w:trPr>
          <w:divId w:val="1066804700"/>
        </w:trPr>
        <w:tc>
          <w:tcPr>
            <w:tcW w:w="2889"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Supervisor</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Fees Earned or</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Paid in Cash (1)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Unit Awards (2)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5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66804700"/>
        </w:trPr>
        <w:tc>
          <w:tcPr>
            <w:tcW w:w="2889"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Harold R. Logan, Jr.</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354,743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479,743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6804700"/>
        </w:trPr>
        <w:tc>
          <w:tcPr>
            <w:tcW w:w="288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Lawrence C. Caldwell</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275,906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365,906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6804700"/>
        </w:trPr>
        <w:tc>
          <w:tcPr>
            <w:tcW w:w="288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Matthew J. Chanin</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275,906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380,906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6804700"/>
        </w:trPr>
        <w:tc>
          <w:tcPr>
            <w:tcW w:w="288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Terence J. Connors</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275,906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385,906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6804700"/>
        </w:trPr>
        <w:tc>
          <w:tcPr>
            <w:tcW w:w="288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William M. Landuyt</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275,906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365,906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6804700"/>
        </w:trPr>
        <w:tc>
          <w:tcPr>
            <w:tcW w:w="288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John Hoyt Stookey</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275,906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365,906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6804700"/>
        </w:trPr>
        <w:tc>
          <w:tcPr>
            <w:tcW w:w="288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Jane Swift</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275,906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0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365,906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4542850"/>
        </w:trPr>
        <w:tc>
          <w:tcPr>
            <w:tcW w:w="227" w:type="pct"/>
            <w:noWrap/>
            <w:hideMark/>
          </w:tcPr>
          <w:p w:rsidR="00000000" w:rsidRDefault="00827839">
            <w:pPr>
              <w:pStyle w:val="a3"/>
              <w:spacing w:before="40" w:beforeAutospacing="0" w:after="0" w:afterAutospacing="0"/>
              <w:jc w:val="both"/>
              <w:rPr>
                <w:color w:val="000000"/>
                <w:sz w:val="20"/>
                <w:szCs w:val="20"/>
              </w:rPr>
            </w:pPr>
            <w:r>
              <w:rPr>
                <w:color w:val="000000"/>
                <w:sz w:val="20"/>
                <w:szCs w:val="20"/>
              </w:rPr>
              <w:t>(1)</w:t>
            </w:r>
          </w:p>
        </w:tc>
        <w:tc>
          <w:tcPr>
            <w:tcW w:w="0" w:type="auto"/>
            <w:hideMark/>
          </w:tcPr>
          <w:p w:rsidR="00000000" w:rsidRDefault="00827839">
            <w:pPr>
              <w:pStyle w:val="a3"/>
              <w:spacing w:before="40" w:beforeAutospacing="0" w:after="0" w:afterAutospacing="0"/>
              <w:jc w:val="both"/>
              <w:rPr>
                <w:color w:val="000000"/>
                <w:sz w:val="20"/>
                <w:szCs w:val="20"/>
              </w:rPr>
            </w:pPr>
            <w:r>
              <w:rPr>
                <w:color w:val="000000"/>
                <w:sz w:val="20"/>
                <w:szCs w:val="20"/>
              </w:rPr>
              <w:t>This includes amounts earned for fiscal 2019, including quarterly retainer installments for the fourth quarter of 2019 that were paid in November 2019.  It does not include amounts paid in fiscal 2019 for fiscal 2018 quarterly retainer installments.  At it</w:t>
            </w:r>
            <w:r>
              <w:rPr>
                <w:color w:val="000000"/>
                <w:sz w:val="20"/>
                <w:szCs w:val="20"/>
              </w:rPr>
              <w:t>s November 13, 2018 meeting, the Committee increased the Audit Committee Chairperson’s and the Compensation Committee Chairperson’s cash retainers each by $5,000 (effective with the payments made for the Board of Supervisor’s January 2019 meeting).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77</w:t>
      </w:r>
    </w:p>
    <w:p w:rsidR="00000000" w:rsidRDefault="00827839">
      <w:pPr>
        <w:rPr>
          <w:rFonts w:eastAsia="Times New Roman"/>
        </w:rPr>
      </w:pPr>
      <w:r>
        <w:rPr>
          <w:rFonts w:eastAsia="Times New Roman"/>
        </w:rPr>
        <w:pict>
          <v:rect id="_x0000_i110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50513612"/>
        </w:trPr>
        <w:tc>
          <w:tcPr>
            <w:tcW w:w="227" w:type="pct"/>
            <w:noWrap/>
            <w:hideMark/>
          </w:tcPr>
          <w:p w:rsidR="00000000" w:rsidRDefault="00827839">
            <w:pPr>
              <w:pStyle w:val="a3"/>
              <w:spacing w:before="120" w:beforeAutospacing="0" w:after="0" w:afterAutospacing="0"/>
              <w:jc w:val="both"/>
              <w:rPr>
                <w:color w:val="000000"/>
                <w:sz w:val="20"/>
                <w:szCs w:val="20"/>
              </w:rPr>
            </w:pPr>
            <w:r>
              <w:rPr>
                <w:color w:val="000000"/>
                <w:sz w:val="20"/>
                <w:szCs w:val="20"/>
              </w:rPr>
              <w:t>(2)</w:t>
            </w:r>
          </w:p>
        </w:tc>
        <w:tc>
          <w:tcPr>
            <w:tcW w:w="0" w:type="auto"/>
            <w:hideMark/>
          </w:tcPr>
          <w:p w:rsidR="00000000" w:rsidRDefault="00827839">
            <w:pPr>
              <w:pStyle w:val="a3"/>
              <w:spacing w:before="120" w:beforeAutospacing="0" w:after="0" w:afterAutospacing="0"/>
              <w:jc w:val="both"/>
              <w:rPr>
                <w:color w:val="000000"/>
                <w:sz w:val="20"/>
                <w:szCs w:val="20"/>
              </w:rPr>
            </w:pPr>
            <w:r>
              <w:rPr>
                <w:color w:val="000000"/>
                <w:sz w:val="20"/>
                <w:szCs w:val="20"/>
              </w:rPr>
              <w:t>At its November 13, 2018 meeting, the Committee granted the following RUP and/or RUP-2 awards to our Board members:</w:t>
            </w:r>
          </w:p>
        </w:tc>
      </w:tr>
    </w:tbl>
    <w:p w:rsidR="00000000" w:rsidRDefault="00827839">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397"/>
        <w:gridCol w:w="193"/>
        <w:gridCol w:w="2396"/>
        <w:gridCol w:w="193"/>
        <w:gridCol w:w="66"/>
        <w:gridCol w:w="1334"/>
        <w:gridCol w:w="66"/>
      </w:tblGrid>
      <w:tr w:rsidR="00000000">
        <w:trPr>
          <w:divId w:val="1329023070"/>
        </w:trPr>
        <w:tc>
          <w:tcPr>
            <w:tcW w:w="180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80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Grant Date</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0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Quantity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329023070"/>
        </w:trPr>
        <w:tc>
          <w:tcPr>
            <w:tcW w:w="1802"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Harold R. Logan, Jr.</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802"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19,552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329023070"/>
        </w:trPr>
        <w:tc>
          <w:tcPr>
            <w:tcW w:w="180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Lawrence C. Caldwell</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80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15,207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329023070"/>
        </w:trPr>
        <w:tc>
          <w:tcPr>
            <w:tcW w:w="180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Matthew J. Chanin</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80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15,207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329023070"/>
        </w:trPr>
        <w:tc>
          <w:tcPr>
            <w:tcW w:w="180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Terence J. Connors</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80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15,207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329023070"/>
        </w:trPr>
        <w:tc>
          <w:tcPr>
            <w:tcW w:w="180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William M. Landuyt</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80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15,207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329023070"/>
        </w:trPr>
        <w:tc>
          <w:tcPr>
            <w:tcW w:w="180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John Hoyt Stookey</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80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14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15,207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329023070"/>
        </w:trPr>
        <w:tc>
          <w:tcPr>
            <w:tcW w:w="180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Jane Swift</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802"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November 15, 2018</w:t>
            </w:r>
          </w:p>
        </w:tc>
        <w:tc>
          <w:tcPr>
            <w:tcW w:w="14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15,207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240" w:beforeAutospacing="0" w:after="0" w:afterAutospacing="0"/>
        <w:ind w:firstLine="556"/>
        <w:jc w:val="both"/>
        <w:rPr>
          <w:sz w:val="20"/>
          <w:szCs w:val="20"/>
        </w:rPr>
      </w:pPr>
      <w:r>
        <w:rPr>
          <w:sz w:val="20"/>
          <w:szCs w:val="20"/>
        </w:rPr>
        <w:t xml:space="preserve">Note: The columns for reporting option awards, non-equity incentive plan compensation, changes in pension value and non-qualified deferred compensation plan earnings and all other forms of compensation were omitted from the Supervisor’s Compensation Table </w:t>
      </w:r>
      <w:r>
        <w:rPr>
          <w:sz w:val="20"/>
          <w:szCs w:val="20"/>
        </w:rPr>
        <w:t>because the Partnership does not provide these forms of compensation to its non-employee supervisors.</w:t>
      </w:r>
    </w:p>
    <w:p w:rsidR="00000000" w:rsidRDefault="00827839">
      <w:pPr>
        <w:pStyle w:val="a3"/>
        <w:spacing w:before="360" w:beforeAutospacing="0" w:after="0" w:afterAutospacing="0"/>
        <w:jc w:val="both"/>
        <w:rPr>
          <w:b/>
          <w:bCs/>
          <w:sz w:val="20"/>
          <w:szCs w:val="20"/>
        </w:rPr>
      </w:pPr>
      <w:r>
        <w:rPr>
          <w:b/>
          <w:bCs/>
          <w:sz w:val="20"/>
          <w:szCs w:val="20"/>
        </w:rPr>
        <w:t>Fees and Benefit Plans for Non-Employee Supervisors</w:t>
      </w:r>
    </w:p>
    <w:p w:rsidR="00000000" w:rsidRDefault="00827839">
      <w:pPr>
        <w:pStyle w:val="a3"/>
        <w:spacing w:before="120" w:beforeAutospacing="0" w:after="0" w:afterAutospacing="0"/>
        <w:ind w:firstLine="556"/>
        <w:jc w:val="both"/>
        <w:rPr>
          <w:b/>
          <w:bCs/>
          <w:color w:val="000000"/>
          <w:sz w:val="20"/>
          <w:szCs w:val="20"/>
        </w:rPr>
      </w:pPr>
      <w:r>
        <w:rPr>
          <w:b/>
          <w:bCs/>
          <w:color w:val="000000"/>
          <w:sz w:val="20"/>
          <w:szCs w:val="20"/>
        </w:rPr>
        <w:t>Annual Cash Retainer Fees</w:t>
      </w:r>
      <w:r>
        <w:rPr>
          <w:color w:val="000000"/>
          <w:sz w:val="20"/>
          <w:szCs w:val="20"/>
        </w:rPr>
        <w:t>.  </w:t>
      </w:r>
      <w:r>
        <w:rPr>
          <w:color w:val="000000"/>
          <w:sz w:val="20"/>
          <w:szCs w:val="20"/>
        </w:rPr>
        <w:t>As the Chairman of the Board of Supervisors, Mr. Logan receives an annual cash retainer of $125,000, payable in quarterly installments of $31,250 each.  Each of the other non-employee Supervisors receives an annual cash retainer of $90,000 each, payable in</w:t>
      </w:r>
      <w:r>
        <w:rPr>
          <w:color w:val="000000"/>
          <w:sz w:val="20"/>
          <w:szCs w:val="20"/>
        </w:rPr>
        <w:t xml:space="preserve"> quarterly installments of $22,500.  As Chair of the Compensation Committee, Mr. Chanin receives an additional annual cash retainer of $15,000, payable in quarterly installments of $3,750 each.  As Chair of the Audit Committee, Mr. Connors receives an addi</w:t>
      </w:r>
      <w:r>
        <w:rPr>
          <w:color w:val="000000"/>
          <w:sz w:val="20"/>
          <w:szCs w:val="20"/>
        </w:rPr>
        <w:t>tional annual cash retainer of $20,000, payable in quarterly installments of $5,000 each.</w:t>
      </w:r>
    </w:p>
    <w:p w:rsidR="00000000" w:rsidRDefault="00827839">
      <w:pPr>
        <w:pStyle w:val="a3"/>
        <w:spacing w:before="240" w:beforeAutospacing="0" w:after="0" w:afterAutospacing="0"/>
        <w:ind w:firstLine="556"/>
        <w:jc w:val="both"/>
        <w:rPr>
          <w:b/>
          <w:bCs/>
          <w:color w:val="000000"/>
          <w:sz w:val="20"/>
          <w:szCs w:val="20"/>
        </w:rPr>
      </w:pPr>
      <w:r>
        <w:rPr>
          <w:b/>
          <w:bCs/>
          <w:color w:val="000000"/>
          <w:sz w:val="20"/>
          <w:szCs w:val="20"/>
        </w:rPr>
        <w:t>Meeting Fees.</w:t>
      </w:r>
      <w:r>
        <w:rPr>
          <w:color w:val="000000"/>
          <w:sz w:val="20"/>
          <w:szCs w:val="20"/>
        </w:rPr>
        <w:t>  The members of our Board of Supervisors receive no additional remuneration for attendance at regularly scheduled meetings of the Board or its Committee</w:t>
      </w:r>
      <w:r>
        <w:rPr>
          <w:color w:val="000000"/>
          <w:sz w:val="20"/>
          <w:szCs w:val="20"/>
        </w:rPr>
        <w:t>s, other than reimbursement of reasonable expenses incurred in connection with such attendance.</w:t>
      </w:r>
    </w:p>
    <w:p w:rsidR="00000000" w:rsidRDefault="00827839">
      <w:pPr>
        <w:pStyle w:val="a3"/>
        <w:spacing w:before="240" w:beforeAutospacing="0" w:after="0" w:afterAutospacing="0"/>
        <w:ind w:firstLine="556"/>
        <w:jc w:val="both"/>
        <w:rPr>
          <w:b/>
          <w:bCs/>
          <w:color w:val="000000"/>
          <w:sz w:val="20"/>
          <w:szCs w:val="20"/>
        </w:rPr>
      </w:pPr>
      <w:r>
        <w:rPr>
          <w:b/>
          <w:bCs/>
          <w:color w:val="000000"/>
          <w:sz w:val="20"/>
          <w:szCs w:val="20"/>
        </w:rPr>
        <w:t>Restricted Unit Plans.</w:t>
      </w:r>
      <w:r>
        <w:rPr>
          <w:color w:val="000000"/>
          <w:sz w:val="20"/>
          <w:szCs w:val="20"/>
        </w:rPr>
        <w:t>  Each non-employee Supervisor participates in our Restricted Unit Plans.  All awards vest in accordance with the provisions of the plan d</w:t>
      </w:r>
      <w:r>
        <w:rPr>
          <w:color w:val="000000"/>
          <w:sz w:val="20"/>
          <w:szCs w:val="20"/>
        </w:rPr>
        <w:t>ocument (see “Compensation Discussion and Analysis” section titled “Restricted Unit Plans” for a description of the vesting schedule).  Upon vesting, all awards are settled by issuing Common Units.  At the end of fiscal 2019, Mr. Logan held 19,552 unvested</w:t>
      </w:r>
      <w:r>
        <w:rPr>
          <w:color w:val="000000"/>
          <w:sz w:val="20"/>
          <w:szCs w:val="20"/>
        </w:rPr>
        <w:t xml:space="preserve"> restricted units, Messieurs Caldwell, Stookey, and Ms. Swift each held 15,207 unvested restricted units, and Messieurs Connors and Landuyt each held 18,393 unvested restricted units.</w:t>
      </w:r>
    </w:p>
    <w:p w:rsidR="00000000" w:rsidRDefault="00827839">
      <w:pPr>
        <w:pStyle w:val="a3"/>
        <w:spacing w:before="240" w:beforeAutospacing="0" w:after="0" w:afterAutospacing="0"/>
        <w:ind w:firstLine="556"/>
        <w:jc w:val="both"/>
        <w:rPr>
          <w:b/>
          <w:bCs/>
          <w:color w:val="000000"/>
          <w:sz w:val="20"/>
          <w:szCs w:val="20"/>
        </w:rPr>
      </w:pPr>
      <w:r>
        <w:rPr>
          <w:b/>
          <w:bCs/>
          <w:color w:val="000000"/>
          <w:sz w:val="20"/>
          <w:szCs w:val="20"/>
        </w:rPr>
        <w:t>Additional Supervisor Compensation.</w:t>
      </w:r>
      <w:r>
        <w:rPr>
          <w:color w:val="000000"/>
          <w:sz w:val="20"/>
          <w:szCs w:val="20"/>
        </w:rPr>
        <w:t>  Non-employee Supervisors receive no</w:t>
      </w:r>
      <w:r>
        <w:rPr>
          <w:color w:val="000000"/>
          <w:sz w:val="20"/>
          <w:szCs w:val="20"/>
        </w:rPr>
        <w:t xml:space="preserve"> other forms of remuneration from us.  The only perquisite provided to the members of the Board of Supervisors is the ability to purchase propane at the same discounted rate that we offer propane to our employees, the value of which was less than $10,000 i</w:t>
      </w:r>
      <w:r>
        <w:rPr>
          <w:color w:val="000000"/>
          <w:sz w:val="20"/>
          <w:szCs w:val="20"/>
        </w:rPr>
        <w:t>n fiscal 2019 for each Supervisor.</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78</w:t>
      </w:r>
    </w:p>
    <w:p w:rsidR="00000000" w:rsidRDefault="00827839">
      <w:pPr>
        <w:rPr>
          <w:rFonts w:eastAsia="Times New Roman"/>
        </w:rPr>
      </w:pPr>
      <w:r>
        <w:rPr>
          <w:rFonts w:eastAsia="Times New Roman"/>
        </w:rPr>
        <w:pict>
          <v:rect id="_x0000_i1105"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025522624"/>
        </w:trPr>
        <w:tc>
          <w:tcPr>
            <w:tcW w:w="513" w:type="pct"/>
            <w:noWrap/>
            <w:hideMark/>
          </w:tcPr>
          <w:p w:rsidR="00000000" w:rsidRDefault="00827839">
            <w:pPr>
              <w:pStyle w:val="a3"/>
              <w:spacing w:before="0" w:beforeAutospacing="0" w:after="0" w:afterAutospacing="0"/>
              <w:rPr>
                <w:b/>
                <w:bCs/>
                <w:sz w:val="20"/>
                <w:szCs w:val="20"/>
              </w:rPr>
            </w:pPr>
            <w:r>
              <w:rPr>
                <w:b/>
                <w:bCs/>
                <w:sz w:val="20"/>
                <w:szCs w:val="20"/>
              </w:rPr>
              <w:t>ITEM 12.</w:t>
            </w:r>
          </w:p>
        </w:tc>
        <w:tc>
          <w:tcPr>
            <w:tcW w:w="0" w:type="auto"/>
            <w:hideMark/>
          </w:tcPr>
          <w:p w:rsidR="00000000" w:rsidRDefault="00827839">
            <w:pPr>
              <w:pStyle w:val="a3"/>
              <w:spacing w:before="0" w:beforeAutospacing="0" w:after="0" w:afterAutospacing="0"/>
              <w:rPr>
                <w:b/>
                <w:bCs/>
                <w:sz w:val="20"/>
                <w:szCs w:val="20"/>
              </w:rPr>
            </w:pPr>
            <w:r>
              <w:rPr>
                <w:b/>
                <w:bCs/>
                <w:sz w:val="20"/>
                <w:szCs w:val="20"/>
              </w:rPr>
              <w:t>SECURITY OWNERSHIP OF CERTAIN BENEFICIAL OWNERS AND MANAGEMENT AND RELATED UNITHOLDER MATTERS</w:t>
            </w:r>
          </w:p>
        </w:tc>
      </w:tr>
    </w:tbl>
    <w:p w:rsidR="00000000" w:rsidRDefault="00827839">
      <w:pPr>
        <w:pStyle w:val="a3"/>
        <w:spacing w:before="120" w:beforeAutospacing="0" w:after="0" w:afterAutospacing="0"/>
        <w:ind w:firstLine="556"/>
        <w:jc w:val="both"/>
        <w:rPr>
          <w:sz w:val="20"/>
          <w:szCs w:val="20"/>
        </w:rPr>
      </w:pPr>
      <w:r>
        <w:rPr>
          <w:sz w:val="20"/>
          <w:szCs w:val="20"/>
        </w:rPr>
        <w:t>The following table sets forth certain information as of</w:t>
      </w:r>
      <w:r>
        <w:rPr>
          <w:sz w:val="20"/>
          <w:szCs w:val="20"/>
        </w:rPr>
        <w:t xml:space="preserve"> November 20, 2019 regarding the beneficial ownership of Common Units by (a) each person or group known to the Partnership, based upon its review of filings under Section 13(d) or (g) under the Securities Act, to own more than 5% of the outstanding Common </w:t>
      </w:r>
      <w:r>
        <w:rPr>
          <w:sz w:val="20"/>
          <w:szCs w:val="20"/>
        </w:rPr>
        <w:t>Units; (b) each member of the Board of Supervisors; (c) each executive officer named in the Summary Compensation Table in Item 11 of this Annual Report; and (d) all members of the Board of Supervisors and executive officers as a group.  Except as set forth</w:t>
      </w:r>
      <w:r>
        <w:rPr>
          <w:sz w:val="20"/>
          <w:szCs w:val="20"/>
        </w:rPr>
        <w:t xml:space="preserve"> in the notes to the table, each individual or entity has sole voting and investment power over the Common Units reported.</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48"/>
        <w:gridCol w:w="130"/>
        <w:gridCol w:w="66"/>
        <w:gridCol w:w="1087"/>
        <w:gridCol w:w="66"/>
        <w:gridCol w:w="129"/>
        <w:gridCol w:w="66"/>
        <w:gridCol w:w="1087"/>
        <w:gridCol w:w="66"/>
      </w:tblGrid>
      <w:tr w:rsidR="00000000">
        <w:trPr>
          <w:divId w:val="1028872622"/>
        </w:trPr>
        <w:tc>
          <w:tcPr>
            <w:tcW w:w="2968"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Name of Beneficial Owner</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Amount and Nature of Beneficial Ownership (1)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 of Class (2)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28872622"/>
        </w:trPr>
        <w:tc>
          <w:tcPr>
            <w:tcW w:w="296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Invesco Ltd. (a)</w:t>
            </w:r>
          </w:p>
        </w:tc>
        <w:tc>
          <w:tcPr>
            <w:tcW w:w="9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7,221,040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OppenheimerFunds, Inc. (b)</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6,300,758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Stivala (c)</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108,987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Michael A. Kuglin (d)</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35,216</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Steven C. Boyd (d)</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69,452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Douglas T. Brinkworth (e)</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46,362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Paul Abel (f)</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63,327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Harold R. Logan, Jr. (g)</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14,565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John Hoyt Stookey (h)</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31,008</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Jane Swift (h)</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14,942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Terence J. Connors (h)</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18,129</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William M. Landuyt (h)</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28,629</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Lawrence C. Caldwell (h)</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29,936</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Matthew J. Chanin (h)</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26,865</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28872622"/>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All Members of the Board of Supervisors and</w:t>
            </w:r>
          </w:p>
          <w:p w:rsidR="00000000" w:rsidRDefault="00827839">
            <w:pPr>
              <w:pStyle w:val="a3"/>
              <w:spacing w:before="0" w:beforeAutospacing="0" w:after="0" w:afterAutospacing="0"/>
              <w:rPr>
                <w:color w:val="000000"/>
                <w:sz w:val="20"/>
                <w:szCs w:val="20"/>
              </w:rPr>
            </w:pPr>
            <w:r>
              <w:rPr>
                <w:color w:val="000000"/>
                <w:sz w:val="20"/>
                <w:szCs w:val="20"/>
              </w:rPr>
              <w:t>   Executive Officers, as a group (19 persons) (i)</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637,269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7" w:type="pct"/>
            <w:gridSpan w:val="2"/>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61620334"/>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sz w:val="20"/>
                <w:szCs w:val="20"/>
              </w:rPr>
              <w:t>With the exception of the 7,221,040 units held by Invesco Ltd. and the 6,300,758 units held by OppenheimerFunds, Inc. (of which the Partnership has no knowledge, see notes (a) and (b) below) and the 784 units held by the General Partner (see note (c) below</w:t>
            </w:r>
            <w:r>
              <w:rPr>
                <w:sz w:val="20"/>
                <w:szCs w:val="20"/>
              </w:rPr>
              <w:t>), the above listed units may be held in brokerage accounts where they are pledged as security.</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Based upon 62,070,444 Common Units outstanding on November 20, 2019.</w:t>
            </w:r>
          </w:p>
        </w:tc>
      </w:tr>
    </w:tbl>
    <w:p w:rsidR="00000000" w:rsidRDefault="00827839">
      <w:pPr>
        <w:divId w:val="191928799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1928799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Less than 1%.</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(a)</w:t>
            </w:r>
          </w:p>
        </w:tc>
        <w:tc>
          <w:tcPr>
            <w:tcW w:w="0" w:type="auto"/>
            <w:hideMark/>
          </w:tcPr>
          <w:p w:rsidR="00000000" w:rsidRDefault="00827839">
            <w:pPr>
              <w:pStyle w:val="a3"/>
              <w:spacing w:before="120" w:beforeAutospacing="0" w:after="0" w:afterAutospacing="0"/>
              <w:jc w:val="both"/>
              <w:rPr>
                <w:sz w:val="20"/>
                <w:szCs w:val="20"/>
              </w:rPr>
            </w:pPr>
            <w:r>
              <w:rPr>
                <w:sz w:val="20"/>
                <w:szCs w:val="20"/>
              </w:rPr>
              <w:t>Based upon a Schedule 13G dated June 10, 2019 filed by Invesco Ltd., which indicates that as of May 31, 2019, Invesco Ltd. had the direct vote of 7,221,040 Common Units and the direct power to dispose or direct the disposition of 7,221,040 Common Units.  T</w:t>
            </w:r>
            <w:r>
              <w:rPr>
                <w:sz w:val="20"/>
                <w:szCs w:val="20"/>
              </w:rPr>
              <w:t>he 13G indicates that Invesco Ltd. may be deemed to be a beneficial owner of these Common Units for purposes of Rule 13d-3 because it and certain affiliates have shared power to retain or dispose of Common Units belonging to many unrelated clients.  We mak</w:t>
            </w:r>
            <w:r>
              <w:rPr>
                <w:sz w:val="20"/>
                <w:szCs w:val="20"/>
              </w:rPr>
              <w:t>e no representation as to the accuracy or completeness of the information reported.  The address of Invesco Ltd. is 1555 Peachtree Street NE, Suite 1800, Atlanta, GA 30309.</w:t>
            </w:r>
          </w:p>
        </w:tc>
      </w:tr>
    </w:tbl>
    <w:p w:rsidR="00000000" w:rsidRDefault="00827839">
      <w:pPr>
        <w:divId w:val="183074918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30749185"/>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xml:space="preserve">(b) </w:t>
            </w:r>
          </w:p>
        </w:tc>
        <w:tc>
          <w:tcPr>
            <w:tcW w:w="0" w:type="auto"/>
            <w:hideMark/>
          </w:tcPr>
          <w:p w:rsidR="00000000" w:rsidRDefault="00827839">
            <w:pPr>
              <w:pStyle w:val="a3"/>
              <w:spacing w:before="120" w:beforeAutospacing="0" w:after="0" w:afterAutospacing="0"/>
              <w:jc w:val="both"/>
              <w:rPr>
                <w:sz w:val="20"/>
                <w:szCs w:val="20"/>
              </w:rPr>
            </w:pPr>
            <w:r>
              <w:rPr>
                <w:sz w:val="20"/>
                <w:szCs w:val="20"/>
              </w:rPr>
              <w:t>Based upon a Schedule 13G/A dated February 8, 2019 filed by OppenheimerFunds</w:t>
            </w:r>
            <w:r>
              <w:rPr>
                <w:sz w:val="20"/>
                <w:szCs w:val="20"/>
              </w:rPr>
              <w:t>, Inc., which indicates that as of January 31, 2019, OppenheimerFunds, Inc. had the shared power to vote or direct the vote of 6,300,758 Common Units and the shared power to dispose or direct the disposition of 6,300,758 Common Units.  The Schedule 13G/A i</w:t>
            </w:r>
            <w:r>
              <w:rPr>
                <w:sz w:val="20"/>
                <w:szCs w:val="20"/>
              </w:rPr>
              <w:t xml:space="preserve">ndicates that OppenheimerFunds, Inc. may be deemed to be a beneficial owner of these Common Units for purposes of Rule 13d-3 because certain affiliates have shared power to retain or dispose of Common Units belonging to many unrelated clients.  We make no </w:t>
            </w:r>
            <w:r>
              <w:rPr>
                <w:sz w:val="20"/>
                <w:szCs w:val="20"/>
              </w:rPr>
              <w:t>representation as to the accuracy or completeness of the information reported.  The address of OppenheimerFunds, Inc. is 225 Liberty Street, New York, NY 10281.</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(c)</w:t>
            </w:r>
          </w:p>
        </w:tc>
        <w:tc>
          <w:tcPr>
            <w:tcW w:w="0" w:type="auto"/>
            <w:hideMark/>
          </w:tcPr>
          <w:p w:rsidR="00000000" w:rsidRDefault="00827839">
            <w:pPr>
              <w:pStyle w:val="a3"/>
              <w:spacing w:before="120" w:beforeAutospacing="0" w:after="0" w:afterAutospacing="0"/>
              <w:jc w:val="both"/>
              <w:rPr>
                <w:sz w:val="20"/>
                <w:szCs w:val="20"/>
              </w:rPr>
            </w:pPr>
            <w:r>
              <w:rPr>
                <w:sz w:val="20"/>
                <w:szCs w:val="20"/>
              </w:rPr>
              <w:t>Includes 784 Common Units held by the General Partner, of which Mr. Stivala is the sole m</w:t>
            </w:r>
            <w:r>
              <w:rPr>
                <w:sz w:val="20"/>
                <w:szCs w:val="20"/>
              </w:rPr>
              <w:t>ember.  Excludes 95,202 unvested restricted units, none of which will vest in the 60-day period following November 20, 2019.</w:t>
            </w:r>
          </w:p>
        </w:tc>
      </w:tr>
    </w:tbl>
    <w:p w:rsidR="00000000" w:rsidRDefault="00827839">
      <w:pPr>
        <w:divId w:val="125273916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52739165"/>
        </w:trPr>
        <w:tc>
          <w:tcPr>
            <w:tcW w:w="227" w:type="pct"/>
            <w:noWrap/>
            <w:hideMark/>
          </w:tcPr>
          <w:p w:rsidR="00000000" w:rsidRDefault="00827839">
            <w:pPr>
              <w:pStyle w:val="a3"/>
              <w:spacing w:before="120" w:beforeAutospacing="0" w:after="0" w:afterAutospacing="0"/>
              <w:jc w:val="both"/>
              <w:rPr>
                <w:sz w:val="20"/>
                <w:szCs w:val="20"/>
              </w:rPr>
            </w:pPr>
            <w:r>
              <w:rPr>
                <w:sz w:val="20"/>
                <w:szCs w:val="20"/>
              </w:rPr>
              <w:t>(d)</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Excludes 59,062 unvested restricted units, none of which will vest in the 60-day period following November 20, 2019. </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(e)</w:t>
            </w:r>
          </w:p>
        </w:tc>
        <w:tc>
          <w:tcPr>
            <w:tcW w:w="0" w:type="auto"/>
            <w:hideMark/>
          </w:tcPr>
          <w:p w:rsidR="00000000" w:rsidRDefault="00827839">
            <w:pPr>
              <w:pStyle w:val="a3"/>
              <w:spacing w:before="120" w:beforeAutospacing="0" w:after="0" w:afterAutospacing="0"/>
              <w:jc w:val="both"/>
              <w:rPr>
                <w:sz w:val="20"/>
                <w:szCs w:val="20"/>
              </w:rPr>
            </w:pPr>
            <w:r>
              <w:rPr>
                <w:sz w:val="20"/>
                <w:szCs w:val="20"/>
              </w:rPr>
              <w:t>Excludes 55,914 unvested restricted units, none of which will vest in the 60-day period following November 20, 2019.</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79</w:t>
      </w:r>
    </w:p>
    <w:p w:rsidR="00000000" w:rsidRDefault="00827839">
      <w:pPr>
        <w:rPr>
          <w:rFonts w:eastAsia="Times New Roman"/>
        </w:rPr>
      </w:pPr>
      <w:r>
        <w:rPr>
          <w:rFonts w:eastAsia="Times New Roman"/>
        </w:rPr>
        <w:pict>
          <v:rect id="_x0000_i1106"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84589909"/>
        </w:trPr>
        <w:tc>
          <w:tcPr>
            <w:tcW w:w="227" w:type="pct"/>
            <w:noWrap/>
            <w:hideMark/>
          </w:tcPr>
          <w:p w:rsidR="00000000" w:rsidRDefault="00827839">
            <w:pPr>
              <w:pStyle w:val="a3"/>
              <w:spacing w:before="120" w:beforeAutospacing="0" w:after="0" w:afterAutospacing="0"/>
              <w:jc w:val="both"/>
              <w:rPr>
                <w:sz w:val="20"/>
                <w:szCs w:val="20"/>
              </w:rPr>
            </w:pPr>
            <w:r>
              <w:rPr>
                <w:sz w:val="20"/>
                <w:szCs w:val="20"/>
              </w:rPr>
              <w:t>(f)</w:t>
            </w:r>
          </w:p>
        </w:tc>
        <w:tc>
          <w:tcPr>
            <w:tcW w:w="0" w:type="auto"/>
            <w:hideMark/>
          </w:tcPr>
          <w:p w:rsidR="00000000" w:rsidRDefault="00827839">
            <w:pPr>
              <w:pStyle w:val="a3"/>
              <w:spacing w:before="120" w:beforeAutospacing="0" w:after="0" w:afterAutospacing="0"/>
              <w:jc w:val="both"/>
              <w:rPr>
                <w:sz w:val="20"/>
                <w:szCs w:val="20"/>
              </w:rPr>
            </w:pPr>
            <w:r>
              <w:rPr>
                <w:sz w:val="20"/>
                <w:szCs w:val="20"/>
              </w:rPr>
              <w:t>Excludes 53,403 unvested restric</w:t>
            </w:r>
            <w:r>
              <w:rPr>
                <w:sz w:val="20"/>
                <w:szCs w:val="20"/>
              </w:rPr>
              <w:t>ted units, none of which will vest in the 60-day period following November 20, 2019.</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(g)</w:t>
            </w:r>
          </w:p>
        </w:tc>
        <w:tc>
          <w:tcPr>
            <w:tcW w:w="0" w:type="auto"/>
            <w:hideMark/>
          </w:tcPr>
          <w:p w:rsidR="00000000" w:rsidRDefault="00827839">
            <w:pPr>
              <w:pStyle w:val="a3"/>
              <w:spacing w:before="120" w:beforeAutospacing="0" w:after="0" w:afterAutospacing="0"/>
              <w:jc w:val="both"/>
              <w:rPr>
                <w:sz w:val="20"/>
                <w:szCs w:val="20"/>
              </w:rPr>
            </w:pPr>
            <w:r>
              <w:rPr>
                <w:sz w:val="20"/>
                <w:szCs w:val="20"/>
              </w:rPr>
              <w:t>Excludes 13,034 unvested restricted units, none of which will vest in the 60-day period following November 20, 2019.</w:t>
            </w:r>
          </w:p>
        </w:tc>
      </w:tr>
    </w:tbl>
    <w:p w:rsidR="00000000" w:rsidRDefault="00827839">
      <w:pPr>
        <w:divId w:val="195450766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54507663"/>
        </w:trPr>
        <w:tc>
          <w:tcPr>
            <w:tcW w:w="227" w:type="pct"/>
            <w:noWrap/>
            <w:hideMark/>
          </w:tcPr>
          <w:p w:rsidR="00000000" w:rsidRDefault="00827839">
            <w:pPr>
              <w:pStyle w:val="a3"/>
              <w:spacing w:before="120" w:beforeAutospacing="0" w:after="0" w:afterAutospacing="0"/>
              <w:jc w:val="both"/>
              <w:rPr>
                <w:sz w:val="20"/>
                <w:szCs w:val="20"/>
              </w:rPr>
            </w:pPr>
            <w:r>
              <w:rPr>
                <w:sz w:val="20"/>
                <w:szCs w:val="20"/>
              </w:rPr>
              <w:t>(h)</w:t>
            </w:r>
          </w:p>
        </w:tc>
        <w:tc>
          <w:tcPr>
            <w:tcW w:w="0" w:type="auto"/>
            <w:hideMark/>
          </w:tcPr>
          <w:p w:rsidR="00000000" w:rsidRDefault="00827839">
            <w:pPr>
              <w:pStyle w:val="a3"/>
              <w:spacing w:before="120" w:beforeAutospacing="0" w:after="0" w:afterAutospacing="0"/>
              <w:jc w:val="both"/>
              <w:rPr>
                <w:sz w:val="20"/>
                <w:szCs w:val="20"/>
              </w:rPr>
            </w:pPr>
            <w:r>
              <w:rPr>
                <w:sz w:val="20"/>
                <w:szCs w:val="20"/>
              </w:rPr>
              <w:t>Excludes 10,138 unvested restricted units,</w:t>
            </w:r>
            <w:r>
              <w:rPr>
                <w:sz w:val="20"/>
                <w:szCs w:val="20"/>
              </w:rPr>
              <w:t xml:space="preserve"> none of which will vest in the 60-day period following November 20, 2019.</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(i)</w:t>
            </w:r>
          </w:p>
        </w:tc>
        <w:tc>
          <w:tcPr>
            <w:tcW w:w="0" w:type="auto"/>
            <w:hideMark/>
          </w:tcPr>
          <w:p w:rsidR="00000000" w:rsidRDefault="00827839">
            <w:pPr>
              <w:pStyle w:val="a3"/>
              <w:spacing w:before="120" w:beforeAutospacing="0" w:after="0" w:afterAutospacing="0"/>
              <w:jc w:val="both"/>
              <w:rPr>
                <w:sz w:val="20"/>
                <w:szCs w:val="20"/>
              </w:rPr>
            </w:pPr>
            <w:r>
              <w:rPr>
                <w:sz w:val="20"/>
                <w:szCs w:val="20"/>
              </w:rPr>
              <w:t>Inclusive of the unvested restricted units referred to in footnotes (c), (d), (e), (f), (g), and (h), above, the reported number of units excludes 580,043 unvested restricted units, none of which will vest in the 60-day period following November 20, 2019.</w:t>
            </w:r>
          </w:p>
        </w:tc>
      </w:tr>
    </w:tbl>
    <w:p w:rsidR="00000000" w:rsidRDefault="00827839">
      <w:pPr>
        <w:pStyle w:val="a3"/>
        <w:spacing w:before="360" w:beforeAutospacing="0" w:after="0" w:afterAutospacing="0"/>
        <w:jc w:val="both"/>
        <w:rPr>
          <w:b/>
          <w:bCs/>
          <w:sz w:val="20"/>
          <w:szCs w:val="20"/>
        </w:rPr>
      </w:pPr>
      <w:r>
        <w:rPr>
          <w:b/>
          <w:bCs/>
          <w:sz w:val="20"/>
          <w:szCs w:val="20"/>
        </w:rPr>
        <w:t>Securities Authorized for Issuance Under the Restricted Unit Plans</w:t>
      </w:r>
    </w:p>
    <w:p w:rsidR="00000000" w:rsidRDefault="00827839">
      <w:pPr>
        <w:pStyle w:val="a3"/>
        <w:spacing w:before="120" w:beforeAutospacing="0" w:after="0" w:afterAutospacing="0"/>
        <w:ind w:firstLine="556"/>
        <w:jc w:val="both"/>
        <w:rPr>
          <w:sz w:val="20"/>
          <w:szCs w:val="20"/>
        </w:rPr>
      </w:pPr>
      <w:r>
        <w:rPr>
          <w:sz w:val="20"/>
          <w:szCs w:val="20"/>
        </w:rPr>
        <w:t>The following table sets forth certain information, as of September 28, 2019, with respect to the Partnership’s Restricted Unit Plans, under which restricted units of the Partnership, as d</w:t>
      </w:r>
      <w:r>
        <w:rPr>
          <w:sz w:val="20"/>
          <w:szCs w:val="20"/>
        </w:rPr>
        <w:t>escribed in the Notes to the Consolidated Financial Statements included in this Annual Report, are authorized for issuance.</w:t>
      </w:r>
    </w:p>
    <w:p w:rsidR="00000000" w:rsidRDefault="00827839">
      <w:pPr>
        <w:pStyle w:val="a3"/>
        <w:spacing w:before="0" w:beforeAutospacing="0" w:after="0" w:afterAutospacing="0"/>
        <w:ind w:firstLine="556"/>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186"/>
        <w:gridCol w:w="93"/>
        <w:gridCol w:w="65"/>
        <w:gridCol w:w="843"/>
        <w:gridCol w:w="65"/>
        <w:gridCol w:w="216"/>
        <w:gridCol w:w="116"/>
        <w:gridCol w:w="844"/>
        <w:gridCol w:w="65"/>
        <w:gridCol w:w="178"/>
        <w:gridCol w:w="65"/>
        <w:gridCol w:w="844"/>
        <w:gridCol w:w="65"/>
      </w:tblGrid>
      <w:tr w:rsidR="00000000">
        <w:trPr>
          <w:divId w:val="1659655637"/>
        </w:trPr>
        <w:tc>
          <w:tcPr>
            <w:tcW w:w="2404"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Plan Category</w:t>
            </w:r>
          </w:p>
        </w:tc>
        <w:tc>
          <w:tcPr>
            <w:tcW w:w="7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 Common Units to be issued upon vesting of restricted units</w:t>
            </w:r>
          </w:p>
          <w:p w:rsidR="00000000" w:rsidRDefault="00827839">
            <w:pPr>
              <w:pStyle w:val="a3"/>
              <w:spacing w:before="0" w:beforeAutospacing="0" w:after="0" w:afterAutospacing="0"/>
              <w:jc w:val="center"/>
              <w:rPr>
                <w:b/>
                <w:bCs/>
                <w:color w:val="000000"/>
                <w:sz w:val="16"/>
                <w:szCs w:val="16"/>
              </w:rPr>
            </w:pPr>
            <w:r>
              <w:rPr>
                <w:b/>
                <w:bCs/>
                <w:color w:val="000000"/>
                <w:sz w:val="16"/>
                <w:szCs w:val="16"/>
              </w:rPr>
              <w:t>(a)</w:t>
            </w:r>
          </w:p>
        </w:tc>
        <w:tc>
          <w:tcPr>
            <w:tcW w:w="2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Weighted-average grant date fair value per restricted unit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w:t>
            </w:r>
          </w:p>
        </w:tc>
        <w:tc>
          <w:tcPr>
            <w:tcW w:w="4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4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 restricted units remaining available for future issuance under the Restricted Unit Plan (excluding securities reflected in column (a))</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w:t>
            </w:r>
          </w:p>
        </w:tc>
        <w:tc>
          <w:tcPr>
            <w:tcW w:w="4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59655637"/>
        </w:trPr>
        <w:tc>
          <w:tcPr>
            <w:tcW w:w="240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Equity compensation plans approved </w:t>
            </w:r>
            <w:r>
              <w:rPr>
                <w:color w:val="000000"/>
                <w:sz w:val="20"/>
                <w:szCs w:val="20"/>
              </w:rPr>
              <w:t>by security</w:t>
            </w:r>
          </w:p>
          <w:p w:rsidR="00000000" w:rsidRDefault="00827839">
            <w:pPr>
              <w:pStyle w:val="a3"/>
              <w:spacing w:before="0" w:beforeAutospacing="0" w:after="0" w:afterAutospacing="0"/>
              <w:rPr>
                <w:color w:val="000000"/>
                <w:sz w:val="20"/>
                <w:szCs w:val="20"/>
              </w:rPr>
            </w:pPr>
            <w:r>
              <w:rPr>
                <w:color w:val="000000"/>
                <w:sz w:val="20"/>
                <w:szCs w:val="20"/>
              </w:rPr>
              <w:t xml:space="preserve">   holders </w:t>
            </w:r>
            <w:r>
              <w:rPr>
                <w:color w:val="000000"/>
                <w:sz w:val="16"/>
                <w:szCs w:val="16"/>
              </w:rPr>
              <w:t>(1)</w:t>
            </w:r>
          </w:p>
        </w:tc>
        <w:tc>
          <w:tcPr>
            <w:tcW w:w="7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1"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988,339</w:t>
            </w:r>
          </w:p>
        </w:tc>
        <w:tc>
          <w:tcPr>
            <w:tcW w:w="2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(2)</w:t>
            </w:r>
          </w:p>
        </w:tc>
        <w:tc>
          <w:tcPr>
            <w:tcW w:w="67"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18.12</w:t>
            </w:r>
          </w:p>
        </w:tc>
        <w:tc>
          <w:tcPr>
            <w:tcW w:w="4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4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1,629,070</w:t>
            </w:r>
          </w:p>
        </w:tc>
        <w:tc>
          <w:tcPr>
            <w:tcW w:w="4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59655637"/>
        </w:trPr>
        <w:tc>
          <w:tcPr>
            <w:tcW w:w="240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Equity compensation plans not approved by</w:t>
            </w:r>
          </w:p>
          <w:p w:rsidR="00000000" w:rsidRDefault="00827839">
            <w:pPr>
              <w:pStyle w:val="a3"/>
              <w:spacing w:before="0" w:beforeAutospacing="0" w:after="0" w:afterAutospacing="0"/>
              <w:rPr>
                <w:color w:val="000000"/>
                <w:sz w:val="20"/>
                <w:szCs w:val="20"/>
              </w:rPr>
            </w:pPr>
            <w:r>
              <w:rPr>
                <w:color w:val="000000"/>
                <w:sz w:val="20"/>
                <w:szCs w:val="20"/>
              </w:rPr>
              <w:t>   security holders</w:t>
            </w:r>
          </w:p>
        </w:tc>
        <w:tc>
          <w:tcPr>
            <w:tcW w:w="7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2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4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4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59655637"/>
        </w:trPr>
        <w:tc>
          <w:tcPr>
            <w:tcW w:w="240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137"/>
              <w:rPr>
                <w:color w:val="000000"/>
                <w:sz w:val="20"/>
                <w:szCs w:val="20"/>
              </w:rPr>
            </w:pPr>
            <w:r>
              <w:rPr>
                <w:color w:val="000000"/>
                <w:sz w:val="20"/>
                <w:szCs w:val="20"/>
              </w:rPr>
              <w:t>Total</w:t>
            </w:r>
          </w:p>
        </w:tc>
        <w:tc>
          <w:tcPr>
            <w:tcW w:w="7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988,339</w:t>
            </w:r>
          </w:p>
        </w:tc>
        <w:tc>
          <w:tcPr>
            <w:tcW w:w="2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18.12</w:t>
            </w:r>
          </w:p>
        </w:tc>
        <w:tc>
          <w:tcPr>
            <w:tcW w:w="4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4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1,629,070</w:t>
            </w:r>
          </w:p>
        </w:tc>
        <w:tc>
          <w:tcPr>
            <w:tcW w:w="4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64188743"/>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noProof/>
                <w:sz w:val="20"/>
                <w:szCs w:val="20"/>
              </w:rPr>
              <w:drawing>
                <wp:inline distT="0" distB="0" distL="0" distR="0">
                  <wp:extent cx="304800" cy="3048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Relates to the Restricted Unit Plans.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Represents number of restricted units that, as of September 28, 2019, had been granted under the Restricted Unit Plans but had not yet vested.</w:t>
            </w:r>
          </w:p>
        </w:tc>
      </w:tr>
    </w:tbl>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80</w:t>
      </w:r>
    </w:p>
    <w:p w:rsidR="00000000" w:rsidRDefault="00827839">
      <w:pPr>
        <w:rPr>
          <w:rFonts w:eastAsia="Times New Roman"/>
        </w:rPr>
      </w:pPr>
      <w:r>
        <w:rPr>
          <w:rFonts w:eastAsia="Times New Roman"/>
        </w:rPr>
        <w:pict>
          <v:rect id="_x0000_i1108"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524050651"/>
        </w:trPr>
        <w:tc>
          <w:tcPr>
            <w:tcW w:w="513" w:type="pct"/>
            <w:noWrap/>
            <w:hideMark/>
          </w:tcPr>
          <w:p w:rsidR="00000000" w:rsidRDefault="00827839">
            <w:pPr>
              <w:pStyle w:val="a3"/>
              <w:spacing w:before="0" w:beforeAutospacing="0" w:after="0" w:afterAutospacing="0"/>
              <w:jc w:val="both"/>
              <w:rPr>
                <w:b/>
                <w:bCs/>
                <w:sz w:val="20"/>
                <w:szCs w:val="20"/>
              </w:rPr>
            </w:pPr>
            <w:r>
              <w:rPr>
                <w:b/>
                <w:bCs/>
                <w:sz w:val="20"/>
                <w:szCs w:val="20"/>
              </w:rPr>
              <w:t>ITEM 1</w:t>
            </w:r>
            <w:r>
              <w:rPr>
                <w:b/>
                <w:bCs/>
                <w:sz w:val="20"/>
                <w:szCs w:val="20"/>
              </w:rPr>
              <w:t>3.</w:t>
            </w:r>
          </w:p>
        </w:tc>
        <w:tc>
          <w:tcPr>
            <w:tcW w:w="0" w:type="auto"/>
            <w:hideMark/>
          </w:tcPr>
          <w:p w:rsidR="00000000" w:rsidRDefault="00827839">
            <w:pPr>
              <w:pStyle w:val="a3"/>
              <w:spacing w:before="0" w:beforeAutospacing="0" w:after="0" w:afterAutospacing="0"/>
              <w:jc w:val="both"/>
              <w:rPr>
                <w:b/>
                <w:bCs/>
                <w:sz w:val="20"/>
                <w:szCs w:val="20"/>
              </w:rPr>
            </w:pPr>
            <w:r>
              <w:rPr>
                <w:b/>
                <w:bCs/>
                <w:sz w:val="20"/>
                <w:szCs w:val="20"/>
              </w:rPr>
              <w:t>CERTAIN RELATIONSHIPS AND RELATED TRANSACTIONS, AND DIRECTOR INDEPENDENCE</w:t>
            </w:r>
          </w:p>
        </w:tc>
      </w:tr>
    </w:tbl>
    <w:p w:rsidR="00000000" w:rsidRDefault="00827839">
      <w:pPr>
        <w:pStyle w:val="a3"/>
        <w:spacing w:before="360" w:beforeAutospacing="0" w:after="0" w:afterAutospacing="0"/>
        <w:jc w:val="both"/>
        <w:rPr>
          <w:b/>
          <w:bCs/>
          <w:sz w:val="20"/>
          <w:szCs w:val="20"/>
        </w:rPr>
      </w:pPr>
      <w:r>
        <w:rPr>
          <w:b/>
          <w:bCs/>
          <w:sz w:val="20"/>
          <w:szCs w:val="20"/>
        </w:rPr>
        <w:t>Related Person Transactions</w:t>
      </w:r>
    </w:p>
    <w:p w:rsidR="00000000" w:rsidRDefault="00827839">
      <w:pPr>
        <w:pStyle w:val="a3"/>
        <w:spacing w:before="120" w:beforeAutospacing="0" w:after="0" w:afterAutospacing="0"/>
        <w:ind w:firstLine="556"/>
        <w:jc w:val="both"/>
        <w:rPr>
          <w:sz w:val="20"/>
          <w:szCs w:val="20"/>
        </w:rPr>
      </w:pPr>
      <w:r>
        <w:rPr>
          <w:sz w:val="20"/>
          <w:szCs w:val="20"/>
        </w:rPr>
        <w:t xml:space="preserve">None.  See “Partnership Management” </w:t>
      </w:r>
      <w:r>
        <w:rPr>
          <w:sz w:val="20"/>
          <w:szCs w:val="20"/>
        </w:rPr>
        <w:t>under Item 10 above for a description of the Audit Committee’s role in reviewing, and approving or ratifying, related party transactions.</w:t>
      </w:r>
    </w:p>
    <w:p w:rsidR="00000000" w:rsidRDefault="00827839">
      <w:pPr>
        <w:pStyle w:val="a3"/>
        <w:spacing w:before="360" w:beforeAutospacing="0" w:after="0" w:afterAutospacing="0"/>
        <w:jc w:val="both"/>
        <w:rPr>
          <w:b/>
          <w:bCs/>
          <w:sz w:val="20"/>
          <w:szCs w:val="20"/>
        </w:rPr>
      </w:pPr>
      <w:r>
        <w:rPr>
          <w:b/>
          <w:bCs/>
          <w:sz w:val="20"/>
          <w:szCs w:val="20"/>
        </w:rPr>
        <w:t>Supervisor Independence</w:t>
      </w:r>
    </w:p>
    <w:p w:rsidR="00000000" w:rsidRDefault="00827839">
      <w:pPr>
        <w:pStyle w:val="a3"/>
        <w:spacing w:before="120" w:beforeAutospacing="0" w:after="0" w:afterAutospacing="0"/>
        <w:ind w:firstLine="556"/>
        <w:jc w:val="both"/>
        <w:rPr>
          <w:sz w:val="20"/>
          <w:szCs w:val="20"/>
        </w:rPr>
      </w:pPr>
      <w:r>
        <w:rPr>
          <w:sz w:val="20"/>
          <w:szCs w:val="20"/>
        </w:rPr>
        <w:t>The Corporate Governance Guidelines and Principles adopted by the Board of Supervisors provide</w:t>
      </w:r>
      <w:r>
        <w:rPr>
          <w:sz w:val="20"/>
          <w:szCs w:val="20"/>
        </w:rPr>
        <w:t xml:space="preserve"> that a Supervisor is deemed to be lacking a material relationship to the Partnership and is therefore independent of management if the following criteria are satisfied:</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39178778"/>
        </w:trPr>
        <w:tc>
          <w:tcPr>
            <w:tcW w:w="227" w:type="pct"/>
            <w:noWrap/>
            <w:hideMark/>
          </w:tcPr>
          <w:p w:rsidR="00000000" w:rsidRDefault="00827839">
            <w:pPr>
              <w:pStyle w:val="a3"/>
              <w:spacing w:before="120" w:beforeAutospacing="0" w:after="0" w:afterAutospacing="0"/>
              <w:jc w:val="both"/>
              <w:rPr>
                <w:sz w:val="20"/>
                <w:szCs w:val="20"/>
              </w:rPr>
            </w:pPr>
            <w:r>
              <w:rPr>
                <w:sz w:val="20"/>
                <w:szCs w:val="20"/>
              </w:rPr>
              <w:t>1.</w:t>
            </w:r>
          </w:p>
        </w:tc>
        <w:tc>
          <w:tcPr>
            <w:tcW w:w="0" w:type="auto"/>
            <w:hideMark/>
          </w:tcPr>
          <w:p w:rsidR="00000000" w:rsidRDefault="00827839">
            <w:pPr>
              <w:pStyle w:val="a3"/>
              <w:spacing w:before="120" w:beforeAutospacing="0" w:after="0" w:afterAutospacing="0"/>
              <w:jc w:val="both"/>
              <w:rPr>
                <w:sz w:val="20"/>
                <w:szCs w:val="20"/>
              </w:rPr>
            </w:pPr>
            <w:r>
              <w:rPr>
                <w:sz w:val="20"/>
                <w:szCs w:val="20"/>
              </w:rPr>
              <w:t>Within the past three years, the Supervisor:</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a.</w:t>
            </w:r>
          </w:p>
        </w:tc>
        <w:tc>
          <w:tcPr>
            <w:tcW w:w="0" w:type="auto"/>
            <w:hideMark/>
          </w:tcPr>
          <w:p w:rsidR="00000000" w:rsidRDefault="00827839">
            <w:pPr>
              <w:pStyle w:val="a3"/>
              <w:spacing w:before="120" w:beforeAutospacing="0" w:after="0" w:afterAutospacing="0"/>
              <w:jc w:val="both"/>
              <w:rPr>
                <w:sz w:val="20"/>
                <w:szCs w:val="20"/>
              </w:rPr>
            </w:pPr>
            <w:r>
              <w:rPr>
                <w:sz w:val="20"/>
                <w:szCs w:val="20"/>
              </w:rPr>
              <w:t>has not been employed by the Pa</w:t>
            </w:r>
            <w:r>
              <w:rPr>
                <w:sz w:val="20"/>
                <w:szCs w:val="20"/>
              </w:rPr>
              <w:t>rtnership and has not received more than $100,000 per year in direct compensation from the Partnership, other than Supervisor and committee fees and pension or other forms of deferred compensation for prior service;</w:t>
            </w:r>
          </w:p>
        </w:tc>
      </w:tr>
    </w:tbl>
    <w:p w:rsidR="00000000" w:rsidRDefault="00827839">
      <w:pPr>
        <w:divId w:val="188235396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82353963"/>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b.</w:t>
            </w:r>
          </w:p>
        </w:tc>
        <w:tc>
          <w:tcPr>
            <w:tcW w:w="0" w:type="auto"/>
            <w:hideMark/>
          </w:tcPr>
          <w:p w:rsidR="00000000" w:rsidRDefault="00827839">
            <w:pPr>
              <w:pStyle w:val="a3"/>
              <w:spacing w:before="120" w:beforeAutospacing="0" w:after="0" w:afterAutospacing="0"/>
              <w:jc w:val="both"/>
              <w:rPr>
                <w:sz w:val="20"/>
                <w:szCs w:val="20"/>
              </w:rPr>
            </w:pPr>
            <w:r>
              <w:rPr>
                <w:sz w:val="20"/>
                <w:szCs w:val="20"/>
              </w:rPr>
              <w:t>has not provided significant advi</w:t>
            </w:r>
            <w:r>
              <w:rPr>
                <w:sz w:val="20"/>
                <w:szCs w:val="20"/>
              </w:rPr>
              <w:t>sory or consultancy services to the Partnership, and has not been affiliated with a company or a firm that has provided such services to the Partnership in return for aggregate payments during any of the last three fiscal years of the Partnership in excess</w:t>
            </w:r>
            <w:r>
              <w:rPr>
                <w:sz w:val="20"/>
                <w:szCs w:val="20"/>
              </w:rPr>
              <w:t xml:space="preserve"> of the greater of 2% of the other company’s consolidated gross revenues or $1 million;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c.</w:t>
            </w:r>
          </w:p>
        </w:tc>
        <w:tc>
          <w:tcPr>
            <w:tcW w:w="0" w:type="auto"/>
            <w:hideMark/>
          </w:tcPr>
          <w:p w:rsidR="00000000" w:rsidRDefault="00827839">
            <w:pPr>
              <w:pStyle w:val="a3"/>
              <w:spacing w:before="120" w:beforeAutospacing="0" w:after="0" w:afterAutospacing="0"/>
              <w:jc w:val="both"/>
              <w:rPr>
                <w:sz w:val="20"/>
                <w:szCs w:val="20"/>
              </w:rPr>
            </w:pPr>
            <w:r>
              <w:rPr>
                <w:sz w:val="20"/>
                <w:szCs w:val="20"/>
              </w:rPr>
              <w:t>has not been a significant customer or supplier of the Partnership and has not been affiliated with a company or firm that has been a customer or supplier of the Partnership and has either made to the Partnership or received from the Partnership payments d</w:t>
            </w:r>
            <w:r>
              <w:rPr>
                <w:sz w:val="20"/>
                <w:szCs w:val="20"/>
              </w:rPr>
              <w:t>uring any of the last three fiscal years of the Partnership in excess of the greater of 2% of the other company’s consolidated gross revenues or $1 million;</w:t>
            </w:r>
          </w:p>
        </w:tc>
      </w:tr>
    </w:tbl>
    <w:p w:rsidR="00000000" w:rsidRDefault="00827839">
      <w:pPr>
        <w:divId w:val="195737014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957370142"/>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d.</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has not been employed by or affiliated with an internal or external auditor that within the </w:t>
            </w:r>
            <w:r>
              <w:rPr>
                <w:sz w:val="20"/>
                <w:szCs w:val="20"/>
              </w:rPr>
              <w:t>past three years provided services to the Partnership;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e.</w:t>
            </w:r>
          </w:p>
        </w:tc>
        <w:tc>
          <w:tcPr>
            <w:tcW w:w="0" w:type="auto"/>
            <w:hideMark/>
          </w:tcPr>
          <w:p w:rsidR="00000000" w:rsidRDefault="00827839">
            <w:pPr>
              <w:pStyle w:val="a3"/>
              <w:spacing w:before="120" w:beforeAutospacing="0" w:after="0" w:afterAutospacing="0"/>
              <w:jc w:val="both"/>
              <w:rPr>
                <w:sz w:val="20"/>
                <w:szCs w:val="20"/>
              </w:rPr>
            </w:pPr>
            <w:r>
              <w:rPr>
                <w:sz w:val="20"/>
                <w:szCs w:val="20"/>
              </w:rPr>
              <w:t>has not been employed by another company where any of the Partnership’s current executives serve on that company’s compensation committee;</w:t>
            </w:r>
          </w:p>
        </w:tc>
      </w:tr>
    </w:tbl>
    <w:p w:rsidR="00000000" w:rsidRDefault="00827839">
      <w:pPr>
        <w:divId w:val="139015438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90154380"/>
        </w:trPr>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Supervisor is not a spouse, parent, siblin</w:t>
            </w:r>
            <w:r>
              <w:rPr>
                <w:sz w:val="20"/>
                <w:szCs w:val="20"/>
              </w:rPr>
              <w:t>g, child, mother- or father-in-law, son- or daughter-in-law or brother- or sister-in-law of a person having a relationship described in 1. above nor shares a residence with such person;</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3.</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Supervisor is not affiliated with a tax-exempt entity that wi</w:t>
            </w:r>
            <w:r>
              <w:rPr>
                <w:sz w:val="20"/>
                <w:szCs w:val="20"/>
              </w:rPr>
              <w:t>thin the past 12 months received significant contributions from the Partnership (contributions of the greater of 2% of the entity’s consolidated gross revenues or $1 million are considered significant); and</w:t>
            </w:r>
          </w:p>
        </w:tc>
      </w:tr>
    </w:tbl>
    <w:p w:rsidR="00000000" w:rsidRDefault="00827839">
      <w:pPr>
        <w:divId w:val="165532940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55329407"/>
        </w:trPr>
        <w:tc>
          <w:tcPr>
            <w:tcW w:w="227" w:type="pct"/>
            <w:noWrap/>
            <w:hideMark/>
          </w:tcPr>
          <w:p w:rsidR="00000000" w:rsidRDefault="00827839">
            <w:pPr>
              <w:pStyle w:val="a3"/>
              <w:spacing w:before="120" w:beforeAutospacing="0" w:after="0" w:afterAutospacing="0"/>
              <w:jc w:val="both"/>
              <w:rPr>
                <w:sz w:val="20"/>
                <w:szCs w:val="20"/>
              </w:rPr>
            </w:pPr>
            <w:r>
              <w:rPr>
                <w:sz w:val="20"/>
                <w:szCs w:val="20"/>
              </w:rPr>
              <w:t>4.</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Supervisor does not have any other relat</w:t>
            </w:r>
            <w:r>
              <w:rPr>
                <w:sz w:val="20"/>
                <w:szCs w:val="20"/>
              </w:rPr>
              <w:t>ionships with the Partnership or with members of senior management of the Partnership that the Board determines to be material.</w:t>
            </w:r>
          </w:p>
        </w:tc>
      </w:tr>
    </w:tbl>
    <w:p w:rsidR="00000000" w:rsidRDefault="00827839">
      <w:pPr>
        <w:pStyle w:val="a3"/>
        <w:spacing w:before="240" w:beforeAutospacing="0" w:after="0" w:afterAutospacing="0"/>
        <w:ind w:firstLine="556"/>
        <w:jc w:val="both"/>
        <w:rPr>
          <w:spacing w:val="-2"/>
          <w:sz w:val="20"/>
          <w:szCs w:val="20"/>
        </w:rPr>
      </w:pPr>
      <w:r>
        <w:rPr>
          <w:spacing w:val="-2"/>
          <w:sz w:val="20"/>
          <w:szCs w:val="20"/>
        </w:rPr>
        <w:t xml:space="preserve">A copy of our Corporate Governance Guidelines is available without charge from our website at </w:t>
      </w:r>
      <w:r>
        <w:rPr>
          <w:spacing w:val="-2"/>
          <w:sz w:val="20"/>
          <w:szCs w:val="20"/>
          <w:u w:val="single"/>
        </w:rPr>
        <w:t>www.suburbanpropane.com</w:t>
      </w:r>
      <w:r>
        <w:rPr>
          <w:spacing w:val="-2"/>
          <w:sz w:val="20"/>
          <w:szCs w:val="20"/>
        </w:rPr>
        <w:t xml:space="preserve"> or upon written request directed to: Suburban Propane Partners, L.P., Investor Relations, P.O. Box 206, Whippany, New Jersey 07981-0206.</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81</w:t>
      </w:r>
    </w:p>
    <w:p w:rsidR="00000000" w:rsidRDefault="00827839">
      <w:pPr>
        <w:rPr>
          <w:rFonts w:eastAsia="Times New Roman"/>
        </w:rPr>
      </w:pPr>
      <w:r>
        <w:rPr>
          <w:rFonts w:eastAsia="Times New Roman"/>
        </w:rPr>
        <w:pict>
          <v:rect id="_x0000_i1109"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126852247"/>
        </w:trPr>
        <w:tc>
          <w:tcPr>
            <w:tcW w:w="513" w:type="pct"/>
            <w:noWrap/>
            <w:hideMark/>
          </w:tcPr>
          <w:p w:rsidR="00000000" w:rsidRDefault="00827839">
            <w:pPr>
              <w:pStyle w:val="a3"/>
              <w:spacing w:before="0" w:beforeAutospacing="0" w:after="0" w:afterAutospacing="0"/>
              <w:jc w:val="both"/>
              <w:rPr>
                <w:b/>
                <w:bCs/>
                <w:sz w:val="20"/>
                <w:szCs w:val="20"/>
              </w:rPr>
            </w:pPr>
            <w:r>
              <w:rPr>
                <w:b/>
                <w:bCs/>
                <w:sz w:val="20"/>
                <w:szCs w:val="20"/>
              </w:rPr>
              <w:t>ITEM 14.</w:t>
            </w:r>
          </w:p>
        </w:tc>
        <w:tc>
          <w:tcPr>
            <w:tcW w:w="0" w:type="auto"/>
            <w:hideMark/>
          </w:tcPr>
          <w:p w:rsidR="00000000" w:rsidRDefault="00827839">
            <w:pPr>
              <w:pStyle w:val="a3"/>
              <w:spacing w:before="0" w:beforeAutospacing="0" w:after="0" w:afterAutospacing="0"/>
              <w:jc w:val="both"/>
              <w:rPr>
                <w:b/>
                <w:bCs/>
                <w:sz w:val="20"/>
                <w:szCs w:val="20"/>
              </w:rPr>
            </w:pPr>
            <w:r>
              <w:rPr>
                <w:b/>
                <w:bCs/>
                <w:sz w:val="20"/>
                <w:szCs w:val="20"/>
              </w:rPr>
              <w:t>PRINCIPAL ACCOUNTING FEES AND SERVICES</w:t>
            </w:r>
          </w:p>
        </w:tc>
      </w:tr>
    </w:tbl>
    <w:p w:rsidR="00000000" w:rsidRDefault="00827839">
      <w:pPr>
        <w:pStyle w:val="a3"/>
        <w:spacing w:before="120" w:beforeAutospacing="0" w:after="0" w:afterAutospacing="0"/>
        <w:ind w:firstLine="556"/>
        <w:jc w:val="both"/>
        <w:rPr>
          <w:sz w:val="20"/>
          <w:szCs w:val="20"/>
        </w:rPr>
      </w:pPr>
      <w:r>
        <w:rPr>
          <w:sz w:val="20"/>
          <w:szCs w:val="20"/>
        </w:rPr>
        <w:t>The following table sets forth the aggregate fees for services related to fiscal years 2019 and 2018 provid</w:t>
      </w:r>
      <w:r>
        <w:rPr>
          <w:sz w:val="20"/>
          <w:szCs w:val="20"/>
        </w:rPr>
        <w:t>ed by PricewaterhouseCoopers LLP, our independent registered public accounting firm.</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8"/>
        <w:gridCol w:w="87"/>
        <w:gridCol w:w="115"/>
        <w:gridCol w:w="925"/>
        <w:gridCol w:w="65"/>
        <w:gridCol w:w="88"/>
        <w:gridCol w:w="115"/>
        <w:gridCol w:w="926"/>
        <w:gridCol w:w="65"/>
      </w:tblGrid>
      <w:tr w:rsidR="00000000">
        <w:trPr>
          <w:divId w:val="800340918"/>
        </w:trPr>
        <w:tc>
          <w:tcPr>
            <w:tcW w:w="296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00340918"/>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Audit Fees (a)</w:t>
            </w:r>
          </w:p>
        </w:tc>
        <w:tc>
          <w:tcPr>
            <w:tcW w:w="9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2,075,785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1,949,300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00340918"/>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Tax Fees (b)</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871,487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913,098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00340918"/>
        </w:trPr>
        <w:tc>
          <w:tcPr>
            <w:tcW w:w="296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All Other Fees (c)</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00340918"/>
        </w:trPr>
        <w:tc>
          <w:tcPr>
            <w:tcW w:w="296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Total</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7"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2,949,972</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7"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2,865,098</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24304248"/>
        </w:trPr>
        <w:tc>
          <w:tcPr>
            <w:tcW w:w="227" w:type="pct"/>
            <w:noWrap/>
            <w:hideMark/>
          </w:tcPr>
          <w:p w:rsidR="00000000" w:rsidRDefault="00827839">
            <w:pPr>
              <w:pStyle w:val="a3"/>
              <w:spacing w:before="40" w:beforeAutospacing="0" w:after="0" w:afterAutospacing="0"/>
              <w:jc w:val="both"/>
              <w:rPr>
                <w:sz w:val="20"/>
                <w:szCs w:val="20"/>
              </w:rPr>
            </w:pPr>
            <w:r>
              <w:rPr>
                <w:sz w:val="20"/>
                <w:szCs w:val="20"/>
              </w:rPr>
              <w:t>(a)</w:t>
            </w:r>
          </w:p>
        </w:tc>
        <w:tc>
          <w:tcPr>
            <w:tcW w:w="0" w:type="auto"/>
            <w:hideMark/>
          </w:tcPr>
          <w:p w:rsidR="00000000" w:rsidRDefault="00827839">
            <w:pPr>
              <w:pStyle w:val="a3"/>
              <w:spacing w:before="40" w:beforeAutospacing="0" w:after="0" w:afterAutospacing="0"/>
              <w:jc w:val="both"/>
              <w:rPr>
                <w:sz w:val="20"/>
                <w:szCs w:val="20"/>
              </w:rPr>
            </w:pPr>
            <w:r>
              <w:rPr>
                <w:sz w:val="20"/>
                <w:szCs w:val="20"/>
              </w:rPr>
              <w:t>Audit Fees consist of professional services rendered for the integrated audit of our annual consolidated financial statements and our internal control over financial reporting, including reviews of our quarterly financial statements, as well as the issuanc</w:t>
            </w:r>
            <w:r>
              <w:rPr>
                <w:sz w:val="20"/>
                <w:szCs w:val="20"/>
              </w:rPr>
              <w:t>e of consents in connection with other filings made with the SEC.</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(b)</w:t>
            </w:r>
          </w:p>
        </w:tc>
        <w:tc>
          <w:tcPr>
            <w:tcW w:w="0" w:type="auto"/>
            <w:hideMark/>
          </w:tcPr>
          <w:p w:rsidR="00000000" w:rsidRDefault="00827839">
            <w:pPr>
              <w:pStyle w:val="a3"/>
              <w:spacing w:before="120" w:beforeAutospacing="0" w:after="0" w:afterAutospacing="0"/>
              <w:jc w:val="both"/>
              <w:rPr>
                <w:sz w:val="20"/>
                <w:szCs w:val="20"/>
              </w:rPr>
            </w:pPr>
            <w:r>
              <w:rPr>
                <w:sz w:val="20"/>
                <w:szCs w:val="20"/>
              </w:rPr>
              <w:t>Tax Fees consist of fees for professional services related to tax reporting, tax compliance and transaction services assistance.</w:t>
            </w:r>
          </w:p>
        </w:tc>
      </w:tr>
    </w:tbl>
    <w:p w:rsidR="00000000" w:rsidRDefault="00827839">
      <w:pPr>
        <w:divId w:val="176168178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61681786"/>
        </w:trPr>
        <w:tc>
          <w:tcPr>
            <w:tcW w:w="227" w:type="pct"/>
            <w:noWrap/>
            <w:hideMark/>
          </w:tcPr>
          <w:p w:rsidR="00000000" w:rsidRDefault="00827839">
            <w:pPr>
              <w:pStyle w:val="a3"/>
              <w:spacing w:before="120" w:beforeAutospacing="0" w:after="0" w:afterAutospacing="0"/>
              <w:jc w:val="both"/>
              <w:rPr>
                <w:sz w:val="20"/>
                <w:szCs w:val="20"/>
              </w:rPr>
            </w:pPr>
            <w:r>
              <w:rPr>
                <w:sz w:val="20"/>
                <w:szCs w:val="20"/>
              </w:rPr>
              <w:t>(c)</w:t>
            </w:r>
          </w:p>
        </w:tc>
        <w:tc>
          <w:tcPr>
            <w:tcW w:w="0" w:type="auto"/>
            <w:hideMark/>
          </w:tcPr>
          <w:p w:rsidR="00000000" w:rsidRDefault="00827839">
            <w:pPr>
              <w:pStyle w:val="a3"/>
              <w:spacing w:before="120" w:beforeAutospacing="0" w:after="0" w:afterAutospacing="0"/>
              <w:jc w:val="both"/>
              <w:rPr>
                <w:sz w:val="20"/>
                <w:szCs w:val="20"/>
              </w:rPr>
            </w:pPr>
            <w:r>
              <w:rPr>
                <w:sz w:val="20"/>
                <w:szCs w:val="20"/>
              </w:rPr>
              <w:t>All Other Fees represent fees for the purchase of a license to an accounting research software tool.</w:t>
            </w:r>
          </w:p>
        </w:tc>
      </w:tr>
    </w:tbl>
    <w:p w:rsidR="00000000" w:rsidRDefault="00827839">
      <w:pPr>
        <w:pStyle w:val="a3"/>
        <w:spacing w:before="240" w:beforeAutospacing="0" w:after="0" w:afterAutospacing="0"/>
        <w:ind w:firstLine="556"/>
        <w:jc w:val="both"/>
        <w:rPr>
          <w:sz w:val="20"/>
          <w:szCs w:val="20"/>
        </w:rPr>
      </w:pPr>
      <w:r>
        <w:rPr>
          <w:sz w:val="20"/>
          <w:szCs w:val="20"/>
        </w:rPr>
        <w:t>The Audit Committee</w:t>
      </w:r>
      <w:r>
        <w:rPr>
          <w:sz w:val="20"/>
          <w:szCs w:val="20"/>
        </w:rPr>
        <w:t xml:space="preserve"> of the Board of Supervisors has adopted a formal policy concerning the approval of audit and non-audit services to be provided by the independent registered public accounting firm, PricewaterhouseCoopers LLP.  The policy requires that all services Pricewa</w:t>
      </w:r>
      <w:r>
        <w:rPr>
          <w:sz w:val="20"/>
          <w:szCs w:val="20"/>
        </w:rPr>
        <w:t>terhouseCoopers LLP may provide to us, including audit services and permitted audit-related and non-audit services, be pre-approved by the Audit Committee. The Audit Committee pre-approved all audit and non-audit services provided by PricewaterhouseCoopers</w:t>
      </w:r>
      <w:r>
        <w:rPr>
          <w:sz w:val="20"/>
          <w:szCs w:val="20"/>
        </w:rPr>
        <w:t xml:space="preserve"> LLP during fiscal 2019 and fiscal 2018.</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82</w:t>
      </w:r>
    </w:p>
    <w:p w:rsidR="00000000" w:rsidRDefault="00827839">
      <w:pPr>
        <w:rPr>
          <w:rFonts w:eastAsia="Times New Roman"/>
        </w:rPr>
      </w:pPr>
      <w:r>
        <w:rPr>
          <w:rFonts w:eastAsia="Times New Roman"/>
        </w:rPr>
        <w:pict>
          <v:rect id="_x0000_i1110"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center"/>
        <w:rPr>
          <w:b/>
          <w:bCs/>
          <w:sz w:val="20"/>
          <w:szCs w:val="20"/>
        </w:rPr>
      </w:pPr>
      <w:r>
        <w:rPr>
          <w:b/>
          <w:bCs/>
          <w:sz w:val="20"/>
          <w:szCs w:val="20"/>
        </w:rPr>
        <w:t>PART IV</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545609556"/>
        </w:trPr>
        <w:tc>
          <w:tcPr>
            <w:tcW w:w="513" w:type="pct"/>
            <w:noWrap/>
            <w:hideMark/>
          </w:tcPr>
          <w:p w:rsidR="00000000" w:rsidRDefault="00827839">
            <w:pPr>
              <w:pStyle w:val="a3"/>
              <w:spacing w:before="240" w:beforeAutospacing="0" w:after="0" w:afterAutospacing="0"/>
              <w:jc w:val="both"/>
              <w:rPr>
                <w:b/>
                <w:bCs/>
                <w:sz w:val="20"/>
                <w:szCs w:val="20"/>
              </w:rPr>
            </w:pPr>
            <w:r>
              <w:rPr>
                <w:b/>
                <w:bCs/>
                <w:sz w:val="20"/>
                <w:szCs w:val="20"/>
              </w:rPr>
              <w:t>ITEM 15.</w:t>
            </w:r>
          </w:p>
        </w:tc>
        <w:tc>
          <w:tcPr>
            <w:tcW w:w="0" w:type="auto"/>
            <w:hideMark/>
          </w:tcPr>
          <w:p w:rsidR="00000000" w:rsidRDefault="00827839">
            <w:pPr>
              <w:pStyle w:val="a3"/>
              <w:spacing w:before="240" w:beforeAutospacing="0" w:after="0" w:afterAutospacing="0"/>
              <w:jc w:val="both"/>
              <w:rPr>
                <w:b/>
                <w:bCs/>
                <w:sz w:val="20"/>
                <w:szCs w:val="20"/>
              </w:rPr>
            </w:pPr>
            <w:r>
              <w:rPr>
                <w:b/>
                <w:bCs/>
                <w:sz w:val="20"/>
                <w:szCs w:val="20"/>
              </w:rPr>
              <w:t>EXHIBITS, FINANCIAL STATEMENT SCHEDULES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(a)</w:t>
            </w:r>
          </w:p>
        </w:tc>
        <w:tc>
          <w:tcPr>
            <w:tcW w:w="0" w:type="auto"/>
            <w:hideMark/>
          </w:tcPr>
          <w:p w:rsidR="00000000" w:rsidRDefault="00827839">
            <w:pPr>
              <w:pStyle w:val="a3"/>
              <w:spacing w:before="120" w:beforeAutospacing="0" w:after="0" w:afterAutospacing="0"/>
              <w:jc w:val="both"/>
              <w:rPr>
                <w:sz w:val="20"/>
                <w:szCs w:val="20"/>
              </w:rPr>
            </w:pPr>
            <w:r>
              <w:rPr>
                <w:sz w:val="20"/>
                <w:szCs w:val="20"/>
              </w:rPr>
              <w:t>The following documents are filed as part of this Annual Report:</w:t>
            </w:r>
          </w:p>
        </w:tc>
      </w:tr>
    </w:tbl>
    <w:p w:rsidR="00000000" w:rsidRDefault="00827839">
      <w:pPr>
        <w:divId w:val="38633741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386337416"/>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1.</w:t>
            </w:r>
          </w:p>
        </w:tc>
        <w:tc>
          <w:tcPr>
            <w:tcW w:w="0" w:type="auto"/>
            <w:hideMark/>
          </w:tcPr>
          <w:p w:rsidR="00000000" w:rsidRDefault="00827839">
            <w:pPr>
              <w:pStyle w:val="a3"/>
              <w:spacing w:before="120" w:beforeAutospacing="0" w:after="0" w:afterAutospacing="0"/>
              <w:jc w:val="both"/>
              <w:rPr>
                <w:sz w:val="20"/>
                <w:szCs w:val="20"/>
              </w:rPr>
            </w:pPr>
            <w:r>
              <w:rPr>
                <w:sz w:val="20"/>
                <w:szCs w:val="20"/>
              </w:rPr>
              <w:t>Financial Statements</w:t>
            </w:r>
          </w:p>
        </w:tc>
      </w:tr>
    </w:tbl>
    <w:p w:rsidR="00000000" w:rsidRDefault="00827839">
      <w:pPr>
        <w:pStyle w:val="a3"/>
        <w:spacing w:before="120" w:beforeAutospacing="0" w:after="0" w:afterAutospacing="0"/>
        <w:ind w:left="1071" w:hanging="556"/>
        <w:jc w:val="both"/>
        <w:rPr>
          <w:sz w:val="20"/>
          <w:szCs w:val="20"/>
        </w:rPr>
      </w:pPr>
      <w:r>
        <w:rPr>
          <w:sz w:val="20"/>
          <w:szCs w:val="20"/>
        </w:rPr>
        <w:t>See “Index to Financial Statements” set forth on page F-1.</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1557112"/>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Financial Statement Schedule</w:t>
            </w:r>
          </w:p>
        </w:tc>
      </w:tr>
    </w:tbl>
    <w:p w:rsidR="00000000" w:rsidRDefault="00827839">
      <w:pPr>
        <w:pStyle w:val="a3"/>
        <w:spacing w:before="120" w:beforeAutospacing="0" w:after="0" w:afterAutospacing="0"/>
        <w:ind w:left="1071" w:hanging="556"/>
        <w:jc w:val="both"/>
        <w:rPr>
          <w:sz w:val="20"/>
          <w:szCs w:val="20"/>
        </w:rPr>
      </w:pPr>
      <w:r>
        <w:rPr>
          <w:sz w:val="20"/>
          <w:szCs w:val="20"/>
        </w:rPr>
        <w:t>See “Index to Financial Statement Schedule” set forth on page S-1.</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306595031"/>
        </w:trPr>
        <w:tc>
          <w:tcPr>
            <w:tcW w:w="227" w:type="pct"/>
            <w:noWrap/>
            <w:hideMark/>
          </w:tcPr>
          <w:p w:rsidR="00000000" w:rsidRDefault="00827839">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27839">
            <w:pPr>
              <w:pStyle w:val="a3"/>
              <w:spacing w:before="120" w:beforeAutospacing="0" w:after="0" w:afterAutospacing="0"/>
              <w:jc w:val="both"/>
              <w:rPr>
                <w:sz w:val="20"/>
                <w:szCs w:val="20"/>
              </w:rPr>
            </w:pPr>
            <w:r>
              <w:rPr>
                <w:sz w:val="20"/>
                <w:szCs w:val="20"/>
              </w:rPr>
              <w:t>3.</w:t>
            </w:r>
          </w:p>
        </w:tc>
        <w:tc>
          <w:tcPr>
            <w:tcW w:w="0" w:type="auto"/>
            <w:hideMark/>
          </w:tcPr>
          <w:p w:rsidR="00000000" w:rsidRDefault="00827839">
            <w:pPr>
              <w:pStyle w:val="a3"/>
              <w:spacing w:before="120" w:beforeAutospacing="0" w:after="0" w:afterAutospacing="0"/>
              <w:jc w:val="both"/>
              <w:rPr>
                <w:sz w:val="20"/>
                <w:szCs w:val="20"/>
              </w:rPr>
            </w:pPr>
            <w:r>
              <w:rPr>
                <w:sz w:val="20"/>
                <w:szCs w:val="20"/>
              </w:rPr>
              <w:t>Exhibits</w:t>
            </w:r>
          </w:p>
        </w:tc>
      </w:tr>
    </w:tbl>
    <w:p w:rsidR="00000000" w:rsidRDefault="00827839">
      <w:pPr>
        <w:pStyle w:val="a3"/>
        <w:spacing w:before="120" w:beforeAutospacing="0" w:after="0" w:afterAutospacing="0"/>
        <w:ind w:left="1071" w:hanging="556"/>
        <w:jc w:val="both"/>
        <w:rPr>
          <w:sz w:val="20"/>
          <w:szCs w:val="20"/>
        </w:rPr>
      </w:pPr>
      <w:r>
        <w:rPr>
          <w:sz w:val="20"/>
          <w:szCs w:val="20"/>
        </w:rPr>
        <w:t>See “Index to Exhibits”.  Each management contract or compensatory plan or arrangement is identified with a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859200333"/>
        </w:trPr>
        <w:tc>
          <w:tcPr>
            <w:tcW w:w="513" w:type="pct"/>
            <w:noWrap/>
            <w:hideMark/>
          </w:tcPr>
          <w:p w:rsidR="00000000" w:rsidRDefault="00827839">
            <w:pPr>
              <w:pStyle w:val="a3"/>
              <w:spacing w:before="360" w:beforeAutospacing="0" w:after="0" w:afterAutospacing="0"/>
              <w:jc w:val="both"/>
              <w:rPr>
                <w:b/>
                <w:bCs/>
                <w:sz w:val="20"/>
                <w:szCs w:val="20"/>
              </w:rPr>
            </w:pPr>
            <w:r>
              <w:rPr>
                <w:b/>
                <w:bCs/>
                <w:sz w:val="20"/>
                <w:szCs w:val="20"/>
              </w:rPr>
              <w:t>ITEM 16.</w:t>
            </w:r>
          </w:p>
        </w:tc>
        <w:tc>
          <w:tcPr>
            <w:tcW w:w="0" w:type="auto"/>
            <w:hideMark/>
          </w:tcPr>
          <w:p w:rsidR="00000000" w:rsidRDefault="00827839">
            <w:pPr>
              <w:pStyle w:val="a3"/>
              <w:spacing w:before="360" w:beforeAutospacing="0" w:after="0" w:afterAutospacing="0"/>
              <w:jc w:val="both"/>
              <w:rPr>
                <w:b/>
                <w:bCs/>
                <w:sz w:val="20"/>
                <w:szCs w:val="20"/>
              </w:rPr>
            </w:pPr>
            <w:r>
              <w:rPr>
                <w:b/>
                <w:bCs/>
                <w:sz w:val="20"/>
                <w:szCs w:val="20"/>
              </w:rPr>
              <w:t>FORM 10-K SUMMARY</w:t>
            </w:r>
          </w:p>
        </w:tc>
      </w:tr>
    </w:tbl>
    <w:p w:rsidR="00000000" w:rsidRDefault="00827839">
      <w:pPr>
        <w:pStyle w:val="a3"/>
        <w:spacing w:before="120" w:beforeAutospacing="0" w:after="0" w:afterAutospacing="0"/>
        <w:ind w:firstLine="556"/>
        <w:jc w:val="both"/>
        <w:rPr>
          <w:sz w:val="20"/>
          <w:szCs w:val="20"/>
        </w:rPr>
      </w:pPr>
      <w:r>
        <w:rPr>
          <w:sz w:val="20"/>
          <w:szCs w:val="20"/>
        </w:rPr>
        <w:t>None.</w:t>
      </w:r>
    </w:p>
    <w:p w:rsidR="00000000" w:rsidRDefault="00827839">
      <w:pPr>
        <w:pStyle w:val="a3"/>
        <w:spacing w:before="0" w:beforeAutospacing="0" w:after="0" w:afterAutospacing="0"/>
        <w:ind w:left="1190" w:hanging="1257"/>
        <w:jc w:val="both"/>
        <w:rPr>
          <w:sz w:val="20"/>
          <w:szCs w:val="20"/>
        </w:rPr>
      </w:pPr>
      <w:r>
        <w:rPr>
          <w:sz w:val="20"/>
          <w:szCs w:val="20"/>
        </w:rPr>
        <w:t> </w:t>
      </w:r>
    </w:p>
    <w:p w:rsidR="00000000" w:rsidRDefault="00827839">
      <w:pPr>
        <w:pStyle w:val="a3"/>
        <w:spacing w:before="0" w:beforeAutospacing="0" w:after="0" w:afterAutospacing="0"/>
        <w:ind w:left="1190" w:hanging="1257"/>
        <w:jc w:val="both"/>
        <w:rPr>
          <w:sz w:val="20"/>
          <w:szCs w:val="20"/>
        </w:rPr>
      </w:pPr>
      <w:r>
        <w:rPr>
          <w:sz w:val="20"/>
          <w:szCs w:val="20"/>
        </w:rPr>
        <w:t> </w:t>
      </w:r>
    </w:p>
    <w:p w:rsidR="00000000" w:rsidRDefault="00827839">
      <w:pPr>
        <w:pStyle w:val="a3"/>
        <w:spacing w:before="120" w:beforeAutospacing="0" w:after="0" w:afterAutospacing="0"/>
        <w:ind w:left="714"/>
        <w:jc w:val="both"/>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83</w:t>
      </w:r>
    </w:p>
    <w:p w:rsidR="00000000" w:rsidRDefault="00827839">
      <w:pPr>
        <w:rPr>
          <w:rFonts w:eastAsia="Times New Roman"/>
        </w:rPr>
      </w:pPr>
      <w:r>
        <w:rPr>
          <w:rFonts w:eastAsia="Times New Roman"/>
        </w:rPr>
        <w:pict>
          <v:rect id="_x0000_i1111"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center"/>
        <w:rPr>
          <w:b/>
          <w:bCs/>
          <w:sz w:val="20"/>
          <w:szCs w:val="20"/>
        </w:rPr>
      </w:pPr>
      <w:r>
        <w:rPr>
          <w:b/>
          <w:bCs/>
          <w:sz w:val="20"/>
          <w:szCs w:val="20"/>
        </w:rPr>
        <w:t>INDEX TO EXHIBITS</w:t>
      </w:r>
    </w:p>
    <w:p w:rsidR="00000000" w:rsidRDefault="00827839">
      <w:pPr>
        <w:pStyle w:val="a3"/>
        <w:spacing w:before="240" w:beforeAutospacing="0" w:after="0" w:afterAutospacing="0"/>
        <w:ind w:firstLine="556"/>
        <w:jc w:val="both"/>
        <w:rPr>
          <w:sz w:val="20"/>
          <w:szCs w:val="20"/>
        </w:rPr>
      </w:pPr>
      <w:r>
        <w:rPr>
          <w:sz w:val="20"/>
          <w:szCs w:val="20"/>
        </w:rPr>
        <w:t>The exhibits listed on this Exhibit Index are filed as part of this Annual Report.  Exhibits required to be filed by Item 601 of Regulation S-K, which are not listed below, are not applicable.</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8"/>
        <w:gridCol w:w="83"/>
        <w:gridCol w:w="7475"/>
      </w:tblGrid>
      <w:tr w:rsidR="00000000">
        <w:trPr>
          <w:divId w:val="287014174"/>
        </w:trPr>
        <w:tc>
          <w:tcPr>
            <w:tcW w:w="450" w:type="pct"/>
            <w:vAlign w:val="bottom"/>
            <w:hideMark/>
          </w:tcPr>
          <w:p w:rsidR="00000000" w:rsidRDefault="00827839">
            <w:pPr>
              <w:pStyle w:val="a3"/>
              <w:spacing w:before="0" w:beforeAutospacing="0" w:after="0" w:afterAutospacing="0"/>
              <w:rPr>
                <w:sz w:val="20"/>
                <w:szCs w:val="20"/>
              </w:rPr>
            </w:pPr>
            <w:r>
              <w:rPr>
                <w:sz w:val="20"/>
                <w:szCs w:val="20"/>
              </w:rPr>
              <w:t>Exhibit</w:t>
            </w:r>
          </w:p>
          <w:p w:rsidR="00000000" w:rsidRDefault="00827839">
            <w:pPr>
              <w:pStyle w:val="a3"/>
              <w:spacing w:before="0" w:beforeAutospacing="0" w:after="0" w:afterAutospacing="0"/>
              <w:rPr>
                <w:sz w:val="20"/>
                <w:szCs w:val="20"/>
              </w:rPr>
            </w:pPr>
            <w:r>
              <w:rPr>
                <w:sz w:val="20"/>
                <w:szCs w:val="20"/>
                <w:u w:val="single"/>
              </w:rPr>
              <w:t>Number</w:t>
            </w:r>
          </w:p>
        </w:tc>
        <w:tc>
          <w:tcPr>
            <w:tcW w:w="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4500" w:type="pct"/>
            <w:vAlign w:val="bottom"/>
            <w:hideMark/>
          </w:tcPr>
          <w:p w:rsidR="00000000" w:rsidRDefault="00827839">
            <w:pPr>
              <w:pStyle w:val="a3"/>
              <w:spacing w:before="0" w:beforeAutospacing="0" w:after="0" w:afterAutospacing="0"/>
              <w:rPr>
                <w:sz w:val="20"/>
                <w:szCs w:val="20"/>
              </w:rPr>
            </w:pPr>
            <w:r>
              <w:rPr>
                <w:sz w:val="20"/>
                <w:szCs w:val="20"/>
                <w:u w:val="single"/>
              </w:rPr>
              <w:t>Description</w:t>
            </w:r>
          </w:p>
        </w:tc>
      </w:tr>
      <w:tr w:rsidR="00000000">
        <w:trPr>
          <w:divId w:val="287014174"/>
        </w:trPr>
        <w:tc>
          <w:tcPr>
            <w:tcW w:w="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3.1</w:t>
            </w:r>
          </w:p>
        </w:tc>
        <w:tc>
          <w:tcPr>
            <w:tcW w:w="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4500" w:type="pct"/>
            <w:hideMark/>
          </w:tcPr>
          <w:p w:rsidR="00000000" w:rsidRDefault="00827839">
            <w:pPr>
              <w:pStyle w:val="a3"/>
              <w:spacing w:before="0" w:beforeAutospacing="0" w:after="0" w:afterAutospacing="0"/>
              <w:jc w:val="both"/>
              <w:rPr>
                <w:sz w:val="20"/>
                <w:szCs w:val="20"/>
              </w:rPr>
            </w:pPr>
            <w:hyperlink r:id="rId5" w:history="1">
              <w:r>
                <w:rPr>
                  <w:rStyle w:val="a4"/>
                  <w:sz w:val="20"/>
                  <w:szCs w:val="20"/>
                </w:rPr>
                <w:t>Third Amended and Restated Agreement of Limited Partnership of the Partnership dated as of October 19, 2006, as amended as of July 31, 2007 and as further amen</w:t>
              </w:r>
              <w:r>
                <w:rPr>
                  <w:rStyle w:val="a4"/>
                  <w:sz w:val="20"/>
                  <w:szCs w:val="20"/>
                </w:rPr>
                <w:t>ded as of January 24, 2018. (Incorporated by reference to Exhibit 3.1 to the Partnership’s Current Report on Form 8-K filed January 24, 2018).</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3.2</w:t>
            </w:r>
          </w:p>
        </w:tc>
        <w:tc>
          <w:tcPr>
            <w:tcW w:w="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4500" w:type="pct"/>
            <w:hideMark/>
          </w:tcPr>
          <w:p w:rsidR="00000000" w:rsidRDefault="00827839">
            <w:pPr>
              <w:pStyle w:val="a3"/>
              <w:spacing w:before="0" w:beforeAutospacing="0" w:after="0" w:afterAutospacing="0"/>
              <w:jc w:val="both"/>
              <w:rPr>
                <w:sz w:val="20"/>
                <w:szCs w:val="20"/>
              </w:rPr>
            </w:pPr>
            <w:hyperlink r:id="rId6" w:history="1">
              <w:r>
                <w:rPr>
                  <w:rStyle w:val="a4"/>
                  <w:sz w:val="20"/>
                  <w:szCs w:val="20"/>
                </w:rPr>
                <w:t>Third Amended and Restated Agreement of Limited Partnership of the Operating Partnership dated as of October 19, 2006, as amended as of June 24, 2009 and as further amended as of January 24, 2018. (Incorporated by reference to Exhibit 3.2 to the Partners</w:t>
              </w:r>
              <w:r>
                <w:rPr>
                  <w:rStyle w:val="a4"/>
                  <w:sz w:val="20"/>
                  <w:szCs w:val="20"/>
                </w:rPr>
                <w:t>hip’s Current Report on Form 8-K filed January 24, 2018).</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3.3  </w:t>
            </w:r>
          </w:p>
        </w:tc>
        <w:tc>
          <w:tcPr>
            <w:tcW w:w="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4500" w:type="pct"/>
            <w:hideMark/>
          </w:tcPr>
          <w:p w:rsidR="00000000" w:rsidRDefault="00827839">
            <w:pPr>
              <w:pStyle w:val="a3"/>
              <w:spacing w:before="0" w:beforeAutospacing="0" w:after="0" w:afterAutospacing="0"/>
              <w:jc w:val="both"/>
              <w:rPr>
                <w:sz w:val="20"/>
                <w:szCs w:val="20"/>
              </w:rPr>
            </w:pPr>
            <w:hyperlink r:id="rId7" w:history="1">
              <w:r>
                <w:rPr>
                  <w:rStyle w:val="a4"/>
                  <w:sz w:val="20"/>
                  <w:szCs w:val="20"/>
                </w:rPr>
                <w:t>Amended and Restated Certificate of Limited Partnership of the Partnership date</w:t>
              </w:r>
              <w:r>
                <w:rPr>
                  <w:rStyle w:val="a4"/>
                  <w:sz w:val="20"/>
                  <w:szCs w:val="20"/>
                </w:rPr>
                <w:t>d May 26, 1999 (Incorporated by reference to Exhibit 3.2 to the Partnership’s Quarterly Report on Form 10-Q filed August 6, 2009).</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3.4</w:t>
            </w:r>
          </w:p>
        </w:tc>
        <w:tc>
          <w:tcPr>
            <w:tcW w:w="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4500" w:type="pct"/>
            <w:hideMark/>
          </w:tcPr>
          <w:p w:rsidR="00000000" w:rsidRDefault="00827839">
            <w:pPr>
              <w:pStyle w:val="a3"/>
              <w:spacing w:before="0" w:beforeAutospacing="0" w:after="0" w:afterAutospacing="0"/>
              <w:jc w:val="both"/>
              <w:rPr>
                <w:sz w:val="20"/>
                <w:szCs w:val="20"/>
              </w:rPr>
            </w:pPr>
            <w:hyperlink r:id="rId8" w:history="1">
              <w:r>
                <w:rPr>
                  <w:rStyle w:val="a4"/>
                  <w:sz w:val="20"/>
                  <w:szCs w:val="20"/>
                </w:rPr>
                <w:t>Amended and Restated Certificate of Limited Partnership of the Operating Partnership dated May 26, 1999 (Incorporated by reference to Exhibit 3.3 to the Part</w:t>
              </w:r>
              <w:r>
                <w:rPr>
                  <w:rStyle w:val="a4"/>
                  <w:sz w:val="20"/>
                  <w:szCs w:val="20"/>
                </w:rPr>
                <w:t>nership’s Quarterly Report on Form 10-Q filed August 6, 2009).</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4.1</w:t>
            </w:r>
          </w:p>
        </w:tc>
        <w:tc>
          <w:tcPr>
            <w:tcW w:w="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4500" w:type="pct"/>
            <w:hideMark/>
          </w:tcPr>
          <w:p w:rsidR="00000000" w:rsidRDefault="00827839">
            <w:pPr>
              <w:pStyle w:val="a3"/>
              <w:spacing w:before="0" w:beforeAutospacing="0" w:after="0" w:afterAutospacing="0"/>
              <w:jc w:val="both"/>
              <w:rPr>
                <w:sz w:val="20"/>
                <w:szCs w:val="20"/>
              </w:rPr>
            </w:pPr>
            <w:hyperlink r:id="rId9" w:history="1">
              <w:r>
                <w:rPr>
                  <w:rStyle w:val="a4"/>
                  <w:sz w:val="20"/>
                  <w:szCs w:val="20"/>
                </w:rPr>
                <w:t>Description of Common Units of the Partnership. (Incorporated by reference to Exhib</w:t>
              </w:r>
              <w:r>
                <w:rPr>
                  <w:rStyle w:val="a4"/>
                  <w:sz w:val="20"/>
                  <w:szCs w:val="20"/>
                </w:rPr>
                <w:t>it 4.1 to the Partnership’s Current Report on Form 8-K filed October 19, 2006).</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4.2</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0" w:history="1">
              <w:r>
                <w:rPr>
                  <w:rStyle w:val="a4"/>
                  <w:sz w:val="20"/>
                  <w:szCs w:val="20"/>
                </w:rPr>
                <w:t xml:space="preserve">Indenture, dated as of May 27, 2014, relating to the 5.50% </w:t>
              </w:r>
              <w:r>
                <w:rPr>
                  <w:rStyle w:val="a4"/>
                  <w:sz w:val="20"/>
                  <w:szCs w:val="20"/>
                </w:rPr>
                <w:t>Senior Notes due 2024, among Suburban Propane Partners, L.P., Suburban Energy Finance Corp. and The Bank of New York Mellon, as Trustee, including the form of 5.50% Senior Notes due 2024.  (Incorporated by reference to Exhibit 4.1 to the Partnership’s Curr</w:t>
              </w:r>
              <w:r>
                <w:rPr>
                  <w:rStyle w:val="a4"/>
                  <w:sz w:val="20"/>
                  <w:szCs w:val="20"/>
                </w:rPr>
                <w:t>ent Report on Form 8-K filed May 28, 2014).</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4.3</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1" w:history="1">
              <w:r>
                <w:rPr>
                  <w:rStyle w:val="a4"/>
                  <w:sz w:val="20"/>
                  <w:szCs w:val="20"/>
                </w:rPr>
                <w:t>First Supplemental Indenture, dated as of May 27, 2014, relating to the 5.50% Senior Notes due 2024, among Suburban Propane Partners, L.P., Suburban Energy Finance Corp. and The Bank of New York Mellon, as Trustee.  (Incorporated by reference to Exhibit 4.</w:t>
              </w:r>
              <w:r>
                <w:rPr>
                  <w:rStyle w:val="a4"/>
                  <w:sz w:val="20"/>
                  <w:szCs w:val="20"/>
                </w:rPr>
                <w:t>2 to the Partnership’s Current Report on Form 8-K filed May 28, 2014).</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4.4</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2" w:history="1">
              <w:r>
                <w:rPr>
                  <w:rStyle w:val="a4"/>
                  <w:sz w:val="20"/>
                  <w:szCs w:val="20"/>
                </w:rPr>
                <w:t xml:space="preserve">Second Supplemental Indenture, dated as of February 25, 2015, to the Indenture, dated as of May 27, 2014, relating to the 5.75% Senior Notes due 2025, among Suburban Propane Partners, L.P., Suburban Energy Finance Corp. and The Bank of New York Mellon, as </w:t>
              </w:r>
              <w:r>
                <w:rPr>
                  <w:rStyle w:val="a4"/>
                  <w:sz w:val="20"/>
                  <w:szCs w:val="20"/>
                </w:rPr>
                <w:t>Trustee.  (Incorporated by reference to Exhibit 4.1 to the Partnership’s Current Report on Form 8-K filed February 25, 2015).</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4.5</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3" w:history="1">
              <w:r>
                <w:rPr>
                  <w:rStyle w:val="a4"/>
                  <w:sz w:val="20"/>
                  <w:szCs w:val="20"/>
                </w:rPr>
                <w:t>Third Supplem</w:t>
              </w:r>
              <w:r>
                <w:rPr>
                  <w:rStyle w:val="a4"/>
                  <w:sz w:val="20"/>
                  <w:szCs w:val="20"/>
                </w:rPr>
                <w:t>ental Indenture, dated as of February 14, 2017, to the Indenture, dated as of May 27, 2014, relating to the 5.875% Senior Notes due 2027, among Suburban Propane Partners, L.P., Suburban Energy Finance Corp. and The Bank of New York Mellon, as Trustee. (Inc</w:t>
              </w:r>
              <w:r>
                <w:rPr>
                  <w:rStyle w:val="a4"/>
                  <w:sz w:val="20"/>
                  <w:szCs w:val="20"/>
                </w:rPr>
                <w:t>orporated by reference to Exhibit 4.1 to the Partnership's Current Report on Form 8-K filed February 14, 2017).</w:t>
              </w:r>
            </w:hyperlink>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jc w:val="both"/>
              <w:rPr>
                <w:sz w:val="20"/>
                <w:szCs w:val="20"/>
              </w:rPr>
            </w:pPr>
            <w:r>
              <w:rPr>
                <w:sz w:val="20"/>
                <w:szCs w:val="20"/>
              </w:rPr>
              <w:t>   10.1</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pacing w:val="-5"/>
                <w:sz w:val="20"/>
                <w:szCs w:val="20"/>
              </w:rPr>
            </w:pPr>
            <w:hyperlink r:id="rId14" w:history="1">
              <w:r>
                <w:rPr>
                  <w:rStyle w:val="a4"/>
                  <w:spacing w:val="-5"/>
                  <w:sz w:val="20"/>
                  <w:szCs w:val="20"/>
                </w:rPr>
                <w:t>Suburban Propane Partners, L.P. 2009 Restricted Unit Plan, effective August 1, 2009, as amended on November 13, 2012, August 6, 2013 and May 13, 2015. (Inco</w:t>
              </w:r>
              <w:r>
                <w:rPr>
                  <w:rStyle w:val="a4"/>
                  <w:spacing w:val="-5"/>
                  <w:sz w:val="20"/>
                  <w:szCs w:val="20"/>
                </w:rPr>
                <w:t>rporated by reference to Exhibit 10.1 to the Partnership’s Current Report on Form 8-K filed May 14, 2015).</w:t>
              </w:r>
            </w:hyperlink>
            <w:r>
              <w:rPr>
                <w:spacing w:val="-5"/>
                <w:sz w:val="20"/>
                <w:szCs w:val="20"/>
              </w:rPr>
              <w:t xml:space="preserve"> #</w:t>
            </w:r>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jc w:val="both"/>
              <w:rPr>
                <w:sz w:val="20"/>
                <w:szCs w:val="20"/>
              </w:rPr>
            </w:pPr>
            <w:r>
              <w:rPr>
                <w:sz w:val="20"/>
                <w:szCs w:val="20"/>
              </w:rPr>
              <w:t>   10.2</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pacing w:val="-5"/>
                <w:sz w:val="20"/>
                <w:szCs w:val="20"/>
              </w:rPr>
            </w:pPr>
            <w:hyperlink r:id="rId15" w:history="1">
              <w:r>
                <w:rPr>
                  <w:rStyle w:val="a4"/>
                  <w:spacing w:val="-5"/>
                  <w:sz w:val="20"/>
                  <w:szCs w:val="20"/>
                </w:rPr>
                <w:t>Suburban Propane Partners, L.P</w:t>
              </w:r>
              <w:r>
                <w:rPr>
                  <w:rStyle w:val="a4"/>
                  <w:spacing w:val="-5"/>
                  <w:sz w:val="20"/>
                  <w:szCs w:val="20"/>
                </w:rPr>
                <w:t>. 2018 Restricted Unit Plan, effective June 1, 2018. (Incorporated by reference to Exhibit 10.1 to the Partnership’s Current Report on Form 8-K filed May 16, 2018).</w:t>
              </w:r>
            </w:hyperlink>
            <w:r>
              <w:rPr>
                <w:spacing w:val="-5"/>
                <w:sz w:val="20"/>
                <w:szCs w:val="20"/>
              </w:rPr>
              <w:t xml:space="preserve"> #</w:t>
            </w:r>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10.3</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6" w:history="1">
              <w:r>
                <w:rPr>
                  <w:rStyle w:val="a4"/>
                  <w:sz w:val="20"/>
                  <w:szCs w:val="20"/>
                </w:rPr>
                <w:t>Suburban Propane, L.P. Severance Protection Plan, as amended on January 24, 2008, January 20, 2009 and November 10, 2009. (Incorporated by reference to Exhibit 10.8 to the Partnership’s Annual Report on Form 10-K filed on Novem</w:t>
              </w:r>
              <w:r>
                <w:rPr>
                  <w:rStyle w:val="a4"/>
                  <w:sz w:val="20"/>
                  <w:szCs w:val="20"/>
                </w:rPr>
                <w:t>ber 25, 2009).</w:t>
              </w:r>
            </w:hyperlink>
            <w:r>
              <w:rPr>
                <w:sz w:val="20"/>
                <w:szCs w:val="20"/>
              </w:rPr>
              <w:t xml:space="preserve"> #</w:t>
            </w:r>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10.4</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7" w:history="1">
              <w:r>
                <w:rPr>
                  <w:rStyle w:val="a4"/>
                  <w:sz w:val="20"/>
                  <w:szCs w:val="20"/>
                </w:rPr>
                <w:t>Suburban Propane, L.P. Executive Special Severance Plan, effective January 1, 2020. (Incorporated by reference to Exhibit 10.1 to the Partnership’s Current Report on Form 8-K filed on November 19, 2019).</w:t>
              </w:r>
            </w:hyperlink>
            <w:r>
              <w:rPr>
                <w:sz w:val="20"/>
                <w:szCs w:val="20"/>
              </w:rPr>
              <w:t xml:space="preserve"> #</w:t>
            </w:r>
          </w:p>
        </w:tc>
      </w:tr>
      <w:tr w:rsidR="00000000">
        <w:trPr>
          <w:divId w:val="287014174"/>
          <w:trHeight w:val="14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10.5</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8" w:history="1">
              <w:r>
                <w:rPr>
                  <w:rStyle w:val="a4"/>
                  <w:sz w:val="20"/>
                  <w:szCs w:val="20"/>
                </w:rPr>
                <w:t>Suburban Propane, L.P. 2014 Long-Term Incentive Plan, effective October 1, 2013, as amended on November 14, 2016,   January 22, 2019 and November 12, 2019. (Filed herewith).</w:t>
              </w:r>
            </w:hyperlink>
            <w:r>
              <w:rPr>
                <w:sz w:val="20"/>
                <w:szCs w:val="20"/>
              </w:rPr>
              <w:t xml:space="preserve"> #</w:t>
            </w:r>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10.6</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19" w:history="1">
              <w:r>
                <w:rPr>
                  <w:rStyle w:val="a4"/>
                  <w:sz w:val="20"/>
                  <w:szCs w:val="20"/>
                </w:rPr>
                <w:t>Amended and Restated Retirement Savings and Investment Plan of Suburban Propane (effective as of January 1, </w:t>
              </w:r>
              <w:r>
                <w:rPr>
                  <w:rStyle w:val="a4"/>
                  <w:sz w:val="20"/>
                  <w:szCs w:val="20"/>
                </w:rPr>
                <w:t>2013). (Incorporated by reference to Exhibit 10.4 to the Partnership’s Annual Report on Form 10-K filed on November 23, 2016).</w:t>
              </w:r>
            </w:hyperlink>
            <w:r>
              <w:rPr>
                <w:sz w:val="20"/>
                <w:szCs w:val="20"/>
              </w:rPr>
              <w:t xml:space="preserve"> #</w:t>
            </w:r>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287014174"/>
        </w:trPr>
        <w:tc>
          <w:tcPr>
            <w:tcW w:w="450" w:type="pct"/>
            <w:hideMark/>
          </w:tcPr>
          <w:p w:rsidR="00000000" w:rsidRDefault="00827839">
            <w:pPr>
              <w:pStyle w:val="a3"/>
              <w:spacing w:before="0" w:beforeAutospacing="0" w:after="0" w:afterAutospacing="0"/>
              <w:rPr>
                <w:sz w:val="20"/>
                <w:szCs w:val="20"/>
              </w:rPr>
            </w:pPr>
            <w:r>
              <w:rPr>
                <w:sz w:val="20"/>
                <w:szCs w:val="20"/>
              </w:rPr>
              <w:t>   10.7</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0" w:history="1">
              <w:r>
                <w:rPr>
                  <w:rStyle w:val="a4"/>
                  <w:sz w:val="20"/>
                  <w:szCs w:val="20"/>
                </w:rPr>
                <w:t xml:space="preserve">First Amendment to the Retirement Savings and Investment Plan of Suburban Propane (effective January 1, 2015). (Incorporated by reference to Exhibit 10.5 to </w:t>
              </w:r>
              <w:r>
                <w:rPr>
                  <w:rStyle w:val="a4"/>
                  <w:sz w:val="20"/>
                  <w:szCs w:val="20"/>
                </w:rPr>
                <w:t>the Partnership’s Annual Report on Form 10-K filed on November 23, 2016).</w:t>
              </w:r>
            </w:hyperlink>
            <w:r>
              <w:rPr>
                <w:sz w:val="20"/>
                <w:szCs w:val="20"/>
              </w:rPr>
              <w:t xml:space="preserve"> #</w:t>
            </w:r>
          </w:p>
        </w:tc>
      </w:tr>
      <w:tr w:rsidR="00000000">
        <w:trPr>
          <w:divId w:val="287014174"/>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84</w:t>
      </w:r>
    </w:p>
    <w:p w:rsidR="00000000" w:rsidRDefault="00827839">
      <w:pPr>
        <w:rPr>
          <w:rFonts w:eastAsia="Times New Roman"/>
        </w:rPr>
      </w:pPr>
      <w:r>
        <w:rPr>
          <w:rFonts w:eastAsia="Times New Roman"/>
        </w:rPr>
        <w:pict>
          <v:rect id="_x0000_i1112"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48"/>
        <w:gridCol w:w="83"/>
        <w:gridCol w:w="7475"/>
      </w:tblGrid>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10.8</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1" w:history="1">
              <w:r>
                <w:rPr>
                  <w:rStyle w:val="a4"/>
                  <w:sz w:val="20"/>
                  <w:szCs w:val="20"/>
                </w:rPr>
                <w:t>Second Amendment to the Retirement Savings and Investment Plan of Suburban Propane (effective January 1, 2016). (Incorporated by reference to Exhibit 10.6 to the Partnership’s Annual Report on Form 10-K filed on Novem</w:t>
              </w:r>
              <w:r>
                <w:rPr>
                  <w:rStyle w:val="a4"/>
                  <w:sz w:val="20"/>
                  <w:szCs w:val="20"/>
                </w:rPr>
                <w:t>ber 23, 2016).</w:t>
              </w:r>
            </w:hyperlink>
            <w:r>
              <w:rPr>
                <w:sz w:val="20"/>
                <w:szCs w:val="20"/>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10.9</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2" w:history="1">
              <w:r>
                <w:rPr>
                  <w:rStyle w:val="a4"/>
                  <w:sz w:val="20"/>
                  <w:szCs w:val="20"/>
                </w:rPr>
                <w:t>Third Amendment to the Retirement Savings and Investment Plan of Suburban Propane (effective August 1, 2016). (Incorporated by reference to Exhibit 10.7 to the Partnership’s Annual Report on Form 10-K filed on November 22, 2017).</w:t>
              </w:r>
            </w:hyperlink>
            <w:r>
              <w:rPr>
                <w:sz w:val="20"/>
                <w:szCs w:val="20"/>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10.10</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3" w:history="1">
              <w:r>
                <w:rPr>
                  <w:rStyle w:val="a4"/>
                  <w:sz w:val="20"/>
                  <w:szCs w:val="20"/>
                </w:rPr>
                <w:t>Fourth Amendment to the Retirement Savings and Investment Plan of Suburban Propane (effective January 1, 2017). (Incorporated by reference to Exhibit 10.8 to the</w:t>
              </w:r>
              <w:r>
                <w:rPr>
                  <w:rStyle w:val="a4"/>
                  <w:sz w:val="20"/>
                  <w:szCs w:val="20"/>
                </w:rPr>
                <w:t xml:space="preserve"> Partnership’s Annual Report on Form 10-K filed on November 22, 2017).</w:t>
              </w:r>
            </w:hyperlink>
            <w:r>
              <w:rPr>
                <w:sz w:val="20"/>
                <w:szCs w:val="20"/>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10.11</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4" w:history="1">
              <w:r>
                <w:rPr>
                  <w:rStyle w:val="a4"/>
                  <w:sz w:val="20"/>
                  <w:szCs w:val="20"/>
                </w:rPr>
                <w:t xml:space="preserve">Fifth Amendment to the Retirement Savings and Investment Plan of Suburban Propane (effective April 1, 2018).  (Incorporated by reference to Exhibit 10.2 to </w:t>
              </w:r>
              <w:r>
                <w:rPr>
                  <w:rStyle w:val="a4"/>
                  <w:sz w:val="20"/>
                  <w:szCs w:val="20"/>
                </w:rPr>
                <w:t>the Partnership’s Quarterly Report on Form 10-Q filed on August 9, 2018).</w:t>
              </w:r>
            </w:hyperlink>
            <w:r>
              <w:rPr>
                <w:sz w:val="20"/>
                <w:szCs w:val="20"/>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10.12</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5" w:history="1">
              <w:r>
                <w:rPr>
                  <w:rStyle w:val="a4"/>
                  <w:sz w:val="20"/>
                  <w:szCs w:val="20"/>
                </w:rPr>
                <w:t>Sixth Amendment to the Retirement Savings and Investment Plan of Suburban Propane (effective January 1, 2019).  (Incorporated by reference to Exhibit 10.4 to the Partnership’s Quarterly Report on Form 10-Q filed on August 8, 2019).</w:t>
              </w:r>
            </w:hyperlink>
            <w:r>
              <w:rPr>
                <w:sz w:val="20"/>
                <w:szCs w:val="20"/>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10.13</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6" w:history="1">
              <w:r>
                <w:rPr>
                  <w:rStyle w:val="a4"/>
                  <w:sz w:val="20"/>
                  <w:szCs w:val="20"/>
                </w:rPr>
                <w:t>Suburban Propane Partners, L.P. Distribution Equivalent Rights Plan, effective January 17, 2017, as amended January 22, 2019 (Incorporated by reference to Exhi</w:t>
              </w:r>
              <w:r>
                <w:rPr>
                  <w:rStyle w:val="a4"/>
                  <w:sz w:val="20"/>
                  <w:szCs w:val="20"/>
                </w:rPr>
                <w:t>bit 10.2 to the Partnership’s Quarterly Report on Form 10-Q filed February 7, 2019).</w:t>
              </w:r>
            </w:hyperlink>
            <w:r>
              <w:rPr>
                <w:sz w:val="20"/>
                <w:szCs w:val="20"/>
              </w:rPr>
              <w:t xml:space="preserve"> #</w:t>
            </w:r>
            <w:r>
              <w:rPr>
                <w:sz w:val="12"/>
                <w:szCs w:val="12"/>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jc w:val="both"/>
              <w:rPr>
                <w:sz w:val="20"/>
                <w:szCs w:val="20"/>
              </w:rPr>
            </w:pPr>
            <w:r>
              <w:rPr>
                <w:sz w:val="20"/>
                <w:szCs w:val="20"/>
              </w:rPr>
              <w:t>   10.14</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7" w:history="1">
              <w:r>
                <w:rPr>
                  <w:rStyle w:val="a4"/>
                  <w:sz w:val="20"/>
                  <w:szCs w:val="20"/>
                </w:rPr>
                <w:t>Third Amendment to the Pension Plan for Eligible Employees of Suburban Propane, L.P. and Subsidiaries (effective June 1, 2017).  (Incorporated by reference</w:t>
              </w:r>
              <w:r>
                <w:rPr>
                  <w:rStyle w:val="a4"/>
                  <w:sz w:val="20"/>
                  <w:szCs w:val="20"/>
                </w:rPr>
                <w:t xml:space="preserve"> to Exhibit 10.10 to the Partnership’s Annual Report on Form 10-K filed on November 22, 2017).</w:t>
              </w:r>
            </w:hyperlink>
            <w:r>
              <w:rPr>
                <w:sz w:val="20"/>
                <w:szCs w:val="20"/>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10.15</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8" w:history="1">
              <w:r>
                <w:rPr>
                  <w:rStyle w:val="a4"/>
                  <w:sz w:val="20"/>
                  <w:szCs w:val="20"/>
                </w:rPr>
                <w:t>Fourth Amendment to the Pension Plan for</w:t>
              </w:r>
              <w:r>
                <w:rPr>
                  <w:rStyle w:val="a4"/>
                  <w:sz w:val="20"/>
                  <w:szCs w:val="20"/>
                </w:rPr>
                <w:t xml:space="preserve"> Eligible Employees of Suburban Propane, L.P. and Subsidiaries (effective January 1, 2019). (Incorporated by reference to Exhibit 10.3 to the Partnership’s Quarterly Report on Form 10-Q filed February 7, 2019).</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10.16</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29" w:history="1">
              <w:r>
                <w:rPr>
                  <w:rStyle w:val="a4"/>
                  <w:sz w:val="20"/>
                  <w:szCs w:val="20"/>
                </w:rPr>
                <w:t>Fifth Amendment to the Pension Plan for Eligible Employees of Suburban Propane, L.P. and Subsidiaries (effective January 1, 2019 and October 1, 2019, as applicable). (Filed herewith).</w:t>
              </w:r>
            </w:hyperlink>
            <w:r>
              <w:rPr>
                <w:sz w:val="20"/>
                <w:szCs w:val="20"/>
              </w:rPr>
              <w:t xml:space="preserve"> #</w:t>
            </w:r>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jc w:val="both"/>
              <w:rPr>
                <w:sz w:val="20"/>
                <w:szCs w:val="20"/>
              </w:rPr>
            </w:pPr>
            <w:r>
              <w:rPr>
                <w:sz w:val="20"/>
                <w:szCs w:val="20"/>
              </w:rPr>
              <w:t>   10.17</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0" w:history="1">
              <w:r>
                <w:rPr>
                  <w:rStyle w:val="a4"/>
                  <w:sz w:val="20"/>
                  <w:szCs w:val="20"/>
                </w:rPr>
                <w:t>Second Amended and Restated Credit Agreement, among the Operating Partnership, the Partnership and Bank of America, N.A., as Administrative Agent, and the L</w:t>
              </w:r>
              <w:r>
                <w:rPr>
                  <w:rStyle w:val="a4"/>
                  <w:sz w:val="20"/>
                  <w:szCs w:val="20"/>
                </w:rPr>
                <w:t>enders party thereto, dated March 3, 2016.  (Incorporated by reference to Exhibit 10.1 to the Partnership’s Current Report on Form 8-K filed on March 3, 2016).</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10.18</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1" w:history="1">
              <w:r>
                <w:rPr>
                  <w:rStyle w:val="a4"/>
                  <w:sz w:val="20"/>
                  <w:szCs w:val="20"/>
                </w:rPr>
                <w:t>First Amendment, dated as of May 1, 2017, to the Second Amended and Restated Credit Agreement, among the Operating Partnership, the Partnership and Bank of America, N.A., as Administrative Agent, and the Lenders party thereto, dated M</w:t>
              </w:r>
              <w:r>
                <w:rPr>
                  <w:rStyle w:val="a4"/>
                  <w:sz w:val="20"/>
                  <w:szCs w:val="20"/>
                </w:rPr>
                <w:t>arch 3, 2016. (Incorporated by reference to Exhibit 10.1 to the Partnership’s Current Report on Form 8-K filed on May 4, 2017).</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21.1</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2" w:history="1">
              <w:r>
                <w:rPr>
                  <w:rStyle w:val="a4"/>
                  <w:sz w:val="20"/>
                  <w:szCs w:val="20"/>
                </w:rPr>
                <w:t>Subsidiaries of Suburban Propane Partners, L.P.  (Filed herewith).</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23.1</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3" w:history="1">
              <w:r>
                <w:rPr>
                  <w:rStyle w:val="a4"/>
                  <w:sz w:val="20"/>
                  <w:szCs w:val="20"/>
                </w:rPr>
                <w:t>Consent of PricewaterhouseCoopers LLP. (Filed herewith).</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31.1</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4" w:history="1">
              <w:r>
                <w:rPr>
                  <w:rStyle w:val="a4"/>
                  <w:sz w:val="20"/>
                  <w:szCs w:val="20"/>
                </w:rPr>
                <w:t>Certification of the President and Chief Executive Officer Pursuant to Section 302 of the Sarbanes-Oxley Act of 2002. (Filed herewith).</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31.2</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5" w:history="1">
              <w:r>
                <w:rPr>
                  <w:rStyle w:val="a4"/>
                  <w:sz w:val="20"/>
                  <w:szCs w:val="20"/>
                </w:rPr>
                <w:t>Certification of the Chief Financial Officer Pursuant to Section 302 of the Sarbanes-Oxley Act of 2002. (Filed herewith).</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32.1</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6" w:history="1">
              <w:r>
                <w:rPr>
                  <w:rStyle w:val="a4"/>
                  <w:sz w:val="20"/>
                  <w:szCs w:val="20"/>
                </w:rPr>
                <w:t>Certification of the President and Chief Executive Officer Pursuant to 18 U.S.C. Sec</w:t>
              </w:r>
              <w:r>
                <w:rPr>
                  <w:rStyle w:val="a4"/>
                  <w:sz w:val="20"/>
                  <w:szCs w:val="20"/>
                </w:rPr>
                <w:t>tion 1350, as Adopted Pursuant to Section 906 of the Sarbanes-Oxley Act of 2002. (Furnished herewith).</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32.2</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7" w:history="1">
              <w:r>
                <w:rPr>
                  <w:rStyle w:val="a4"/>
                  <w:sz w:val="20"/>
                  <w:szCs w:val="20"/>
                </w:rPr>
                <w:t>Certification of the Chief Financial Officer Pursuant to 18 U.S.C. Section 1350, as Adopted Pursuant t</w:t>
              </w:r>
              <w:r>
                <w:rPr>
                  <w:rStyle w:val="a4"/>
                  <w:sz w:val="20"/>
                  <w:szCs w:val="20"/>
                </w:rPr>
                <w:t>o Section 906 of the Sarbanes-Oxley Act of 2002. (Furnished herewith).</w:t>
              </w:r>
            </w:hyperlink>
          </w:p>
        </w:tc>
      </w:tr>
      <w:tr w:rsidR="00000000">
        <w:trPr>
          <w:divId w:val="1504661288"/>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99.1</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8" w:history="1">
              <w:r>
                <w:rPr>
                  <w:rStyle w:val="a4"/>
                  <w:sz w:val="20"/>
                  <w:szCs w:val="20"/>
                </w:rPr>
                <w:t xml:space="preserve">Equity Holding Policy for Supervisors and Executives of Suburban Propane Partners, L.P., as amended on November 10, 2015 and as further amended on November </w:t>
              </w:r>
              <w:r>
                <w:rPr>
                  <w:rStyle w:val="a4"/>
                  <w:sz w:val="20"/>
                  <w:szCs w:val="20"/>
                </w:rPr>
                <w:t>13, 2018. (Incorporated by reference to Exhibit 99.1 to the Partnership’s Annual Report on Form 10-K filed on November 21, 2018).</w:t>
              </w:r>
            </w:hyperlink>
          </w:p>
        </w:tc>
      </w:tr>
      <w:tr w:rsidR="00000000">
        <w:trPr>
          <w:divId w:val="1504661288"/>
        </w:trPr>
        <w:tc>
          <w:tcPr>
            <w:tcW w:w="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1504661288"/>
        </w:trPr>
        <w:tc>
          <w:tcPr>
            <w:tcW w:w="450" w:type="pct"/>
            <w:hideMark/>
          </w:tcPr>
          <w:p w:rsidR="00000000" w:rsidRDefault="00827839">
            <w:pPr>
              <w:pStyle w:val="a3"/>
              <w:spacing w:before="0" w:beforeAutospacing="0" w:after="0" w:afterAutospacing="0"/>
              <w:rPr>
                <w:sz w:val="20"/>
                <w:szCs w:val="20"/>
              </w:rPr>
            </w:pPr>
            <w:r>
              <w:rPr>
                <w:sz w:val="20"/>
                <w:szCs w:val="20"/>
              </w:rPr>
              <w:t>   99.2</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hyperlink r:id="rId39" w:history="1">
              <w:r>
                <w:rPr>
                  <w:rStyle w:val="a4"/>
                  <w:sz w:val="20"/>
                  <w:szCs w:val="20"/>
                </w:rPr>
                <w:t>Five-Year Performance Graph (Furnished herewith).</w:t>
              </w:r>
            </w:hyperlink>
          </w:p>
        </w:tc>
      </w:tr>
      <w:tr w:rsidR="00000000">
        <w:trPr>
          <w:divId w:val="1504661288"/>
        </w:trPr>
        <w:tc>
          <w:tcPr>
            <w:tcW w:w="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bl>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85</w:t>
      </w:r>
    </w:p>
    <w:p w:rsidR="00000000" w:rsidRDefault="00827839">
      <w:pPr>
        <w:rPr>
          <w:rFonts w:eastAsia="Times New Roman"/>
        </w:rPr>
      </w:pPr>
      <w:r>
        <w:rPr>
          <w:rFonts w:eastAsia="Times New Roman"/>
        </w:rPr>
        <w:pict>
          <v:rect id="_x0000_i1113"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rPr>
          <w:divId w:val="382485282"/>
        </w:trPr>
        <w:tc>
          <w:tcPr>
            <w:tcW w:w="450" w:type="pct"/>
            <w:hideMark/>
          </w:tcPr>
          <w:p w:rsidR="00000000" w:rsidRDefault="00827839">
            <w:pPr>
              <w:pStyle w:val="a3"/>
              <w:spacing w:before="0" w:beforeAutospacing="0" w:after="0" w:afterAutospacing="0"/>
              <w:rPr>
                <w:sz w:val="20"/>
                <w:szCs w:val="20"/>
              </w:rPr>
            </w:pPr>
            <w:r>
              <w:rPr>
                <w:sz w:val="20"/>
                <w:szCs w:val="20"/>
              </w:rPr>
              <w:t>101.INS</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r>
              <w:rPr>
                <w:sz w:val="20"/>
                <w:szCs w:val="20"/>
              </w:rPr>
              <w:t>Inline XBRL Instance Document</w:t>
            </w:r>
          </w:p>
        </w:tc>
      </w:tr>
      <w:tr w:rsidR="00000000">
        <w:trPr>
          <w:divId w:val="382485282"/>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382485282"/>
        </w:trPr>
        <w:tc>
          <w:tcPr>
            <w:tcW w:w="450" w:type="pct"/>
            <w:hideMark/>
          </w:tcPr>
          <w:p w:rsidR="00000000" w:rsidRDefault="00827839">
            <w:pPr>
              <w:pStyle w:val="a3"/>
              <w:spacing w:before="0" w:beforeAutospacing="0" w:after="0" w:afterAutospacing="0"/>
              <w:rPr>
                <w:sz w:val="20"/>
                <w:szCs w:val="20"/>
              </w:rPr>
            </w:pPr>
            <w:r>
              <w:rPr>
                <w:sz w:val="20"/>
                <w:szCs w:val="20"/>
              </w:rPr>
              <w:t>101.SCH</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r>
              <w:rPr>
                <w:sz w:val="20"/>
                <w:szCs w:val="20"/>
              </w:rPr>
              <w:t>Inline XBRL Taxonomy Extension Schema Document</w:t>
            </w:r>
          </w:p>
        </w:tc>
      </w:tr>
      <w:tr w:rsidR="00000000">
        <w:trPr>
          <w:divId w:val="382485282"/>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382485282"/>
        </w:trPr>
        <w:tc>
          <w:tcPr>
            <w:tcW w:w="450" w:type="pct"/>
            <w:hideMark/>
          </w:tcPr>
          <w:p w:rsidR="00000000" w:rsidRDefault="00827839">
            <w:pPr>
              <w:pStyle w:val="a3"/>
              <w:spacing w:before="0" w:beforeAutospacing="0" w:after="0" w:afterAutospacing="0"/>
              <w:rPr>
                <w:sz w:val="20"/>
                <w:szCs w:val="20"/>
              </w:rPr>
            </w:pPr>
            <w:r>
              <w:rPr>
                <w:sz w:val="20"/>
                <w:szCs w:val="20"/>
              </w:rPr>
              <w:t>101.CAL</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r>
              <w:rPr>
                <w:sz w:val="20"/>
                <w:szCs w:val="20"/>
              </w:rPr>
              <w:t>Inline XBRL Taxonomy Extension Calculation Linkbase Document</w:t>
            </w:r>
          </w:p>
        </w:tc>
      </w:tr>
      <w:tr w:rsidR="00000000">
        <w:trPr>
          <w:divId w:val="382485282"/>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382485282"/>
        </w:trPr>
        <w:tc>
          <w:tcPr>
            <w:tcW w:w="450" w:type="pct"/>
            <w:hideMark/>
          </w:tcPr>
          <w:p w:rsidR="00000000" w:rsidRDefault="00827839">
            <w:pPr>
              <w:pStyle w:val="a3"/>
              <w:spacing w:before="0" w:beforeAutospacing="0" w:after="0" w:afterAutospacing="0"/>
              <w:rPr>
                <w:sz w:val="20"/>
                <w:szCs w:val="20"/>
              </w:rPr>
            </w:pPr>
            <w:r>
              <w:rPr>
                <w:sz w:val="20"/>
                <w:szCs w:val="20"/>
              </w:rPr>
              <w:t>101.DEF</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r>
              <w:rPr>
                <w:sz w:val="20"/>
                <w:szCs w:val="20"/>
              </w:rPr>
              <w:t>Inline XBRL Taxonomy Extension Definition Linkbase Document</w:t>
            </w:r>
          </w:p>
        </w:tc>
      </w:tr>
      <w:tr w:rsidR="00000000">
        <w:trPr>
          <w:divId w:val="382485282"/>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382485282"/>
        </w:trPr>
        <w:tc>
          <w:tcPr>
            <w:tcW w:w="450" w:type="pct"/>
            <w:hideMark/>
          </w:tcPr>
          <w:p w:rsidR="00000000" w:rsidRDefault="00827839">
            <w:pPr>
              <w:pStyle w:val="a3"/>
              <w:spacing w:before="0" w:beforeAutospacing="0" w:after="0" w:afterAutospacing="0"/>
              <w:rPr>
                <w:sz w:val="20"/>
                <w:szCs w:val="20"/>
              </w:rPr>
            </w:pPr>
            <w:r>
              <w:rPr>
                <w:sz w:val="20"/>
                <w:szCs w:val="20"/>
              </w:rPr>
              <w:t xml:space="preserve">101.LAB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r>
              <w:rPr>
                <w:sz w:val="20"/>
                <w:szCs w:val="20"/>
              </w:rPr>
              <w:t>Inline XBRL Taxonomy Extension Label Linkbase Document</w:t>
            </w:r>
          </w:p>
        </w:tc>
      </w:tr>
      <w:tr w:rsidR="00000000">
        <w:trPr>
          <w:divId w:val="382485282"/>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382485282"/>
        </w:trPr>
        <w:tc>
          <w:tcPr>
            <w:tcW w:w="450" w:type="pct"/>
            <w:hideMark/>
          </w:tcPr>
          <w:p w:rsidR="00000000" w:rsidRDefault="00827839">
            <w:pPr>
              <w:pStyle w:val="a3"/>
              <w:spacing w:before="0" w:beforeAutospacing="0" w:after="0" w:afterAutospacing="0"/>
              <w:rPr>
                <w:sz w:val="20"/>
                <w:szCs w:val="20"/>
              </w:rPr>
            </w:pPr>
            <w:r>
              <w:rPr>
                <w:sz w:val="20"/>
                <w:szCs w:val="20"/>
              </w:rPr>
              <w:t>101.PRE</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20"/>
                <w:szCs w:val="20"/>
              </w:rPr>
            </w:pPr>
            <w:r>
              <w:rPr>
                <w:sz w:val="20"/>
                <w:szCs w:val="20"/>
              </w:rPr>
              <w:t>Inline XBRL Taxonomy Extension Presentation Linkbase Document</w:t>
            </w:r>
          </w:p>
        </w:tc>
      </w:tr>
      <w:tr w:rsidR="00000000">
        <w:trPr>
          <w:divId w:val="382485282"/>
        </w:trPr>
        <w:tc>
          <w:tcPr>
            <w:tcW w:w="450" w:type="pct"/>
            <w:hideMark/>
          </w:tcPr>
          <w:p w:rsidR="00000000" w:rsidRDefault="00827839">
            <w:pPr>
              <w:pStyle w:val="a3"/>
              <w:spacing w:before="0" w:beforeAutospacing="0" w:after="0" w:afterAutospacing="0"/>
              <w:rPr>
                <w:sz w:val="12"/>
                <w:szCs w:val="12"/>
              </w:rPr>
            </w:pPr>
            <w:r>
              <w:rPr>
                <w:sz w:val="12"/>
                <w:szCs w:val="12"/>
              </w:rPr>
              <w:t> </w:t>
            </w:r>
          </w:p>
        </w:tc>
        <w:tc>
          <w:tcPr>
            <w:tcW w:w="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4500" w:type="pct"/>
            <w:hideMark/>
          </w:tcPr>
          <w:p w:rsidR="00000000" w:rsidRDefault="00827839">
            <w:pPr>
              <w:pStyle w:val="a3"/>
              <w:spacing w:before="0" w:beforeAutospacing="0" w:after="0" w:afterAutospacing="0"/>
              <w:jc w:val="both"/>
              <w:rPr>
                <w:sz w:val="12"/>
                <w:szCs w:val="12"/>
              </w:rPr>
            </w:pPr>
            <w:r>
              <w:rPr>
                <w:sz w:val="12"/>
                <w:szCs w:val="12"/>
              </w:rPr>
              <w:t> </w:t>
            </w:r>
          </w:p>
        </w:tc>
      </w:tr>
      <w:tr w:rsidR="00000000">
        <w:trPr>
          <w:divId w:val="382485282"/>
        </w:trPr>
        <w:tc>
          <w:tcPr>
            <w:tcW w:w="450" w:type="pct"/>
            <w:hideMark/>
          </w:tcPr>
          <w:p w:rsidR="00000000" w:rsidRDefault="00827839">
            <w:pPr>
              <w:pStyle w:val="a3"/>
              <w:spacing w:before="0" w:beforeAutospacing="0" w:after="0" w:afterAutospacing="0"/>
              <w:rPr>
                <w:sz w:val="20"/>
                <w:szCs w:val="20"/>
              </w:rPr>
            </w:pPr>
            <w:r>
              <w:rPr>
                <w:sz w:val="20"/>
                <w:szCs w:val="20"/>
              </w:rPr>
              <w:t>104</w:t>
            </w:r>
          </w:p>
        </w:tc>
        <w:tc>
          <w:tcPr>
            <w:tcW w:w="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4500" w:type="pct"/>
            <w:hideMark/>
          </w:tcPr>
          <w:p w:rsidR="00000000" w:rsidRDefault="00827839">
            <w:pPr>
              <w:pStyle w:val="a3"/>
              <w:spacing w:before="0" w:beforeAutospacing="0" w:after="0" w:afterAutospacing="0"/>
              <w:jc w:val="both"/>
              <w:rPr>
                <w:sz w:val="20"/>
                <w:szCs w:val="20"/>
              </w:rPr>
            </w:pPr>
            <w:r>
              <w:rPr>
                <w:sz w:val="20"/>
                <w:szCs w:val="20"/>
              </w:rPr>
              <w:t>Cover Page Interactive Data File (embedded in the Inline XBRL document).</w:t>
            </w:r>
          </w:p>
        </w:tc>
      </w:tr>
    </w:tbl>
    <w:p w:rsidR="00000000" w:rsidRDefault="00827839">
      <w:pPr>
        <w:pStyle w:val="a3"/>
        <w:spacing w:before="0" w:beforeAutospacing="0" w:after="0" w:afterAutospacing="0"/>
        <w:jc w:val="both"/>
        <w:rPr>
          <w:sz w:val="12"/>
          <w:szCs w:val="12"/>
        </w:rPr>
      </w:pPr>
      <w:r>
        <w:rPr>
          <w:sz w:val="12"/>
          <w:szCs w:val="12"/>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86</w:t>
      </w:r>
    </w:p>
    <w:p w:rsidR="00000000" w:rsidRDefault="00827839">
      <w:pPr>
        <w:rPr>
          <w:rFonts w:eastAsia="Times New Roman"/>
        </w:rPr>
      </w:pPr>
      <w:r>
        <w:rPr>
          <w:rFonts w:eastAsia="Times New Roman"/>
        </w:rPr>
        <w:pict>
          <v:rect id="_x0000_i1114" style="width:0;height:1.5pt" o:hralign="center" o:hrstd="t" o:hr="t" fillcolor="#a0a0a0" stroked="f"/>
        </w:pict>
      </w:r>
    </w:p>
    <w:p w:rsidR="00000000" w:rsidRDefault="00827839">
      <w:pPr>
        <w:pStyle w:val="a3"/>
        <w:spacing w:before="0" w:beforeAutospacing="0" w:after="0" w:afterAutospacing="0"/>
        <w:rPr>
          <w:sz w:val="18"/>
          <w:szCs w:val="18"/>
        </w:rPr>
      </w:pPr>
      <w:hyperlink w:anchor="TABLE_OF_CONTENTS" w:history="1">
        <w:r>
          <w:rPr>
            <w:rStyle w:val="a4"/>
            <w:sz w:val="18"/>
            <w:szCs w:val="18"/>
          </w:rPr>
          <w:t>Table of Contents</w:t>
        </w:r>
      </w:hyperlink>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0" w:beforeAutospacing="0" w:after="0" w:afterAutospacing="0"/>
        <w:jc w:val="center"/>
        <w:rPr>
          <w:b/>
          <w:bCs/>
          <w:sz w:val="20"/>
          <w:szCs w:val="20"/>
        </w:rPr>
      </w:pPr>
      <w:r>
        <w:rPr>
          <w:b/>
          <w:bCs/>
          <w:sz w:val="20"/>
          <w:szCs w:val="20"/>
        </w:rPr>
        <w:t>SI</w:t>
      </w:r>
      <w:r>
        <w:rPr>
          <w:b/>
          <w:bCs/>
          <w:sz w:val="20"/>
          <w:szCs w:val="20"/>
        </w:rPr>
        <w:t>GNATURES</w:t>
      </w:r>
    </w:p>
    <w:p w:rsidR="00000000" w:rsidRDefault="00827839">
      <w:pPr>
        <w:pStyle w:val="a3"/>
        <w:spacing w:before="240" w:beforeAutospacing="0" w:after="0" w:afterAutospacing="0"/>
        <w:ind w:firstLine="556"/>
        <w:jc w:val="both"/>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52"/>
        <w:gridCol w:w="332"/>
        <w:gridCol w:w="3322"/>
      </w:tblGrid>
      <w:tr w:rsidR="00000000">
        <w:trPr>
          <w:divId w:val="322394482"/>
          <w:trHeight w:val="20"/>
        </w:trPr>
        <w:tc>
          <w:tcPr>
            <w:tcW w:w="2800" w:type="pct"/>
            <w:hideMark/>
          </w:tcPr>
          <w:p w:rsidR="00000000" w:rsidRDefault="00827839">
            <w:pPr>
              <w:pStyle w:val="a3"/>
              <w:spacing w:before="0" w:beforeAutospacing="0" w:after="0" w:afterAutospacing="0"/>
              <w:jc w:val="both"/>
              <w:rPr>
                <w:sz w:val="20"/>
                <w:szCs w:val="20"/>
              </w:rPr>
            </w:pPr>
            <w:r>
              <w:rPr>
                <w:sz w:val="20"/>
                <w:szCs w:val="20"/>
              </w:rPr>
              <w:t> </w:t>
            </w:r>
          </w:p>
        </w:tc>
        <w:tc>
          <w:tcPr>
            <w:tcW w:w="200" w:type="pct"/>
            <w:gridSpan w:val="2"/>
            <w:hideMark/>
          </w:tcPr>
          <w:p w:rsidR="00000000" w:rsidRDefault="00827839">
            <w:pPr>
              <w:pStyle w:val="a3"/>
              <w:spacing w:before="0" w:beforeAutospacing="0" w:after="0" w:afterAutospacing="0"/>
              <w:jc w:val="both"/>
              <w:rPr>
                <w:sz w:val="20"/>
                <w:szCs w:val="20"/>
              </w:rPr>
            </w:pPr>
            <w:r>
              <w:rPr>
                <w:sz w:val="20"/>
                <w:szCs w:val="20"/>
              </w:rPr>
              <w:t>SUBURBAN PROPANE PARTNERS, L.P.</w:t>
            </w:r>
          </w:p>
        </w:tc>
      </w:tr>
      <w:tr w:rsidR="00000000">
        <w:trPr>
          <w:divId w:val="322394482"/>
          <w:trHeight w:val="20"/>
        </w:trPr>
        <w:tc>
          <w:tcPr>
            <w:tcW w:w="2800" w:type="pct"/>
            <w:hideMark/>
          </w:tcPr>
          <w:p w:rsidR="00000000" w:rsidRDefault="00827839">
            <w:pPr>
              <w:pStyle w:val="a3"/>
              <w:spacing w:before="0" w:beforeAutospacing="0" w:after="0" w:afterAutospacing="0"/>
            </w:pPr>
            <w:r>
              <w:t> </w:t>
            </w:r>
          </w:p>
        </w:tc>
        <w:tc>
          <w:tcPr>
            <w:tcW w:w="200" w:type="pct"/>
            <w:hideMark/>
          </w:tcPr>
          <w:p w:rsidR="00000000" w:rsidRDefault="00827839">
            <w:pPr>
              <w:pStyle w:val="a3"/>
              <w:spacing w:before="0" w:beforeAutospacing="0" w:after="0" w:afterAutospacing="0"/>
            </w:pPr>
            <w:r>
              <w:t> </w:t>
            </w:r>
          </w:p>
        </w:tc>
        <w:tc>
          <w:tcPr>
            <w:tcW w:w="2000" w:type="pct"/>
            <w:hideMark/>
          </w:tcPr>
          <w:p w:rsidR="00000000" w:rsidRDefault="00827839">
            <w:pPr>
              <w:pStyle w:val="a3"/>
              <w:spacing w:before="0" w:beforeAutospacing="0" w:after="0" w:afterAutospacing="0"/>
            </w:pPr>
            <w:r>
              <w:t> </w:t>
            </w:r>
          </w:p>
        </w:tc>
      </w:tr>
      <w:tr w:rsidR="00000000">
        <w:trPr>
          <w:divId w:val="322394482"/>
          <w:trHeight w:val="20"/>
        </w:trPr>
        <w:tc>
          <w:tcPr>
            <w:tcW w:w="2800" w:type="pct"/>
            <w:hideMark/>
          </w:tcPr>
          <w:p w:rsidR="00000000" w:rsidRDefault="00827839">
            <w:pPr>
              <w:pStyle w:val="a3"/>
              <w:spacing w:before="0" w:beforeAutospacing="0" w:after="0" w:afterAutospacing="0"/>
              <w:rPr>
                <w:sz w:val="20"/>
                <w:szCs w:val="20"/>
              </w:rPr>
            </w:pPr>
            <w:r>
              <w:rPr>
                <w:sz w:val="20"/>
                <w:szCs w:val="20"/>
              </w:rPr>
              <w:t xml:space="preserve">Date: </w:t>
            </w:r>
            <w:r>
              <w:rPr>
                <w:sz w:val="20"/>
                <w:szCs w:val="20"/>
                <w:u w:val="single"/>
              </w:rPr>
              <w:t>November 27, 2019</w:t>
            </w:r>
          </w:p>
        </w:tc>
        <w:tc>
          <w:tcPr>
            <w:tcW w:w="200" w:type="pct"/>
            <w:hideMark/>
          </w:tcPr>
          <w:p w:rsidR="00000000" w:rsidRDefault="00827839">
            <w:pPr>
              <w:pStyle w:val="a3"/>
              <w:spacing w:before="0" w:beforeAutospacing="0" w:after="0" w:afterAutospacing="0"/>
              <w:rPr>
                <w:sz w:val="20"/>
                <w:szCs w:val="20"/>
              </w:rPr>
            </w:pPr>
            <w:r>
              <w:rPr>
                <w:sz w:val="20"/>
                <w:szCs w:val="20"/>
              </w:rPr>
              <w:t>By:</w:t>
            </w:r>
          </w:p>
        </w:tc>
        <w:tc>
          <w:tcPr>
            <w:tcW w:w="2000" w:type="pct"/>
            <w:tcBorders>
              <w:bottom w:val="single" w:sz="6" w:space="0" w:color="000000"/>
            </w:tcBorders>
            <w:hideMark/>
          </w:tcPr>
          <w:p w:rsidR="00000000" w:rsidRDefault="00827839">
            <w:pPr>
              <w:pStyle w:val="a3"/>
              <w:spacing w:before="0" w:beforeAutospacing="0" w:after="0" w:afterAutospacing="0"/>
              <w:rPr>
                <w:sz w:val="20"/>
                <w:szCs w:val="20"/>
              </w:rPr>
            </w:pPr>
            <w:r>
              <w:rPr>
                <w:sz w:val="20"/>
                <w:szCs w:val="20"/>
              </w:rPr>
              <w:t>/s/ MICHAEL A. STIVALA                 </w:t>
            </w:r>
          </w:p>
        </w:tc>
      </w:tr>
      <w:tr w:rsidR="00000000">
        <w:trPr>
          <w:divId w:val="322394482"/>
          <w:trHeight w:val="20"/>
        </w:trPr>
        <w:tc>
          <w:tcPr>
            <w:tcW w:w="2800" w:type="pct"/>
            <w:hideMark/>
          </w:tcPr>
          <w:p w:rsidR="00000000" w:rsidRDefault="00827839">
            <w:pPr>
              <w:pStyle w:val="a3"/>
              <w:spacing w:before="0" w:beforeAutospacing="0" w:after="0" w:afterAutospacing="0"/>
              <w:jc w:val="both"/>
              <w:rPr>
                <w:sz w:val="20"/>
                <w:szCs w:val="20"/>
              </w:rPr>
            </w:pPr>
            <w:r>
              <w:rPr>
                <w:sz w:val="20"/>
                <w:szCs w:val="20"/>
              </w:rPr>
              <w:t> </w:t>
            </w:r>
          </w:p>
        </w:tc>
        <w:tc>
          <w:tcPr>
            <w:tcW w:w="200" w:type="pct"/>
            <w:hideMark/>
          </w:tcPr>
          <w:p w:rsidR="00000000" w:rsidRDefault="00827839">
            <w:pPr>
              <w:pStyle w:val="a3"/>
              <w:spacing w:before="0" w:beforeAutospacing="0" w:after="0" w:afterAutospacing="0"/>
              <w:jc w:val="both"/>
              <w:rPr>
                <w:sz w:val="20"/>
                <w:szCs w:val="20"/>
              </w:rPr>
            </w:pPr>
            <w:r>
              <w:rPr>
                <w:sz w:val="20"/>
                <w:szCs w:val="20"/>
              </w:rPr>
              <w:t> </w:t>
            </w:r>
          </w:p>
        </w:tc>
        <w:tc>
          <w:tcPr>
            <w:tcW w:w="2000" w:type="pct"/>
            <w:tcBorders>
              <w:top w:val="single" w:sz="6" w:space="0" w:color="000000"/>
            </w:tcBorders>
            <w:hideMark/>
          </w:tcPr>
          <w:p w:rsidR="00000000" w:rsidRDefault="00827839">
            <w:pPr>
              <w:pStyle w:val="a3"/>
              <w:spacing w:before="0" w:beforeAutospacing="0" w:after="0" w:afterAutospacing="0"/>
              <w:jc w:val="both"/>
              <w:rPr>
                <w:sz w:val="20"/>
                <w:szCs w:val="20"/>
              </w:rPr>
            </w:pPr>
            <w:r>
              <w:rPr>
                <w:sz w:val="20"/>
                <w:szCs w:val="20"/>
              </w:rPr>
              <w:t>Michael A. Stivala</w:t>
            </w:r>
          </w:p>
        </w:tc>
      </w:tr>
      <w:tr w:rsidR="00000000">
        <w:trPr>
          <w:divId w:val="322394482"/>
          <w:trHeight w:val="20"/>
        </w:trPr>
        <w:tc>
          <w:tcPr>
            <w:tcW w:w="2800" w:type="pct"/>
            <w:hideMark/>
          </w:tcPr>
          <w:p w:rsidR="00000000" w:rsidRDefault="00827839">
            <w:pPr>
              <w:pStyle w:val="a3"/>
              <w:spacing w:before="0" w:beforeAutospacing="0" w:after="0" w:afterAutospacing="0"/>
              <w:jc w:val="both"/>
              <w:rPr>
                <w:sz w:val="20"/>
                <w:szCs w:val="20"/>
              </w:rPr>
            </w:pPr>
            <w:r>
              <w:rPr>
                <w:sz w:val="20"/>
                <w:szCs w:val="20"/>
              </w:rPr>
              <w:t> </w:t>
            </w:r>
          </w:p>
        </w:tc>
        <w:tc>
          <w:tcPr>
            <w:tcW w:w="200" w:type="pct"/>
            <w:hideMark/>
          </w:tcPr>
          <w:p w:rsidR="00000000" w:rsidRDefault="00827839">
            <w:pPr>
              <w:pStyle w:val="a3"/>
              <w:spacing w:before="0" w:beforeAutospacing="0" w:after="0" w:afterAutospacing="0"/>
              <w:jc w:val="both"/>
              <w:rPr>
                <w:sz w:val="20"/>
                <w:szCs w:val="20"/>
              </w:rPr>
            </w:pPr>
            <w:r>
              <w:rPr>
                <w:sz w:val="20"/>
                <w:szCs w:val="20"/>
              </w:rPr>
              <w:t> </w:t>
            </w:r>
          </w:p>
        </w:tc>
        <w:tc>
          <w:tcPr>
            <w:tcW w:w="2000" w:type="pct"/>
            <w:hideMark/>
          </w:tcPr>
          <w:p w:rsidR="00000000" w:rsidRDefault="00827839">
            <w:pPr>
              <w:pStyle w:val="a3"/>
              <w:spacing w:before="0" w:beforeAutospacing="0" w:after="0" w:afterAutospacing="0"/>
              <w:jc w:val="both"/>
              <w:rPr>
                <w:sz w:val="20"/>
                <w:szCs w:val="20"/>
              </w:rPr>
            </w:pPr>
            <w:r>
              <w:rPr>
                <w:sz w:val="20"/>
                <w:szCs w:val="20"/>
              </w:rPr>
              <w:t>President, Chief Executive Officer and</w:t>
            </w:r>
          </w:p>
        </w:tc>
      </w:tr>
      <w:tr w:rsidR="00000000">
        <w:trPr>
          <w:divId w:val="322394482"/>
          <w:trHeight w:val="20"/>
        </w:trPr>
        <w:tc>
          <w:tcPr>
            <w:tcW w:w="2800" w:type="pct"/>
            <w:hideMark/>
          </w:tcPr>
          <w:p w:rsidR="00000000" w:rsidRDefault="00827839">
            <w:pPr>
              <w:pStyle w:val="a3"/>
              <w:spacing w:before="0" w:beforeAutospacing="0" w:after="0" w:afterAutospacing="0"/>
              <w:jc w:val="both"/>
              <w:rPr>
                <w:sz w:val="20"/>
                <w:szCs w:val="20"/>
              </w:rPr>
            </w:pPr>
            <w:r>
              <w:rPr>
                <w:sz w:val="20"/>
                <w:szCs w:val="20"/>
              </w:rPr>
              <w:t> </w:t>
            </w:r>
          </w:p>
        </w:tc>
        <w:tc>
          <w:tcPr>
            <w:tcW w:w="200" w:type="pct"/>
            <w:hideMark/>
          </w:tcPr>
          <w:p w:rsidR="00000000" w:rsidRDefault="00827839">
            <w:pPr>
              <w:pStyle w:val="a3"/>
              <w:spacing w:before="0" w:beforeAutospacing="0" w:after="0" w:afterAutospacing="0"/>
              <w:jc w:val="both"/>
              <w:rPr>
                <w:sz w:val="20"/>
                <w:szCs w:val="20"/>
              </w:rPr>
            </w:pPr>
            <w:r>
              <w:rPr>
                <w:sz w:val="20"/>
                <w:szCs w:val="20"/>
              </w:rPr>
              <w:t> </w:t>
            </w:r>
          </w:p>
        </w:tc>
        <w:tc>
          <w:tcPr>
            <w:tcW w:w="2000" w:type="pct"/>
            <w:hideMark/>
          </w:tcPr>
          <w:p w:rsidR="00000000" w:rsidRDefault="00827839">
            <w:pPr>
              <w:pStyle w:val="a3"/>
              <w:spacing w:before="0" w:beforeAutospacing="0" w:after="0" w:afterAutospacing="0"/>
              <w:jc w:val="both"/>
              <w:rPr>
                <w:sz w:val="20"/>
                <w:szCs w:val="20"/>
              </w:rPr>
            </w:pPr>
            <w:r>
              <w:rPr>
                <w:sz w:val="20"/>
                <w:szCs w:val="20"/>
              </w:rPr>
              <w:t>Supervisor</w:t>
            </w:r>
          </w:p>
        </w:tc>
      </w:tr>
    </w:tbl>
    <w:p w:rsidR="00000000" w:rsidRDefault="00827839">
      <w:pPr>
        <w:pStyle w:val="a3"/>
        <w:spacing w:before="240" w:beforeAutospacing="0" w:after="0" w:afterAutospacing="0"/>
        <w:ind w:firstLine="556"/>
        <w:jc w:val="both"/>
        <w:rPr>
          <w:sz w:val="20"/>
          <w:szCs w:val="20"/>
        </w:rPr>
      </w:pPr>
      <w:r>
        <w:rPr>
          <w:sz w:val="20"/>
          <w:szCs w:val="20"/>
        </w:rPr>
        <w:t>Pursuant to the requirements of the Securities Exchange Act of 1934, this Annual Report has been signed below by the following persons on behalf of the Registrant and in the capacities and on the dates indicated:</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
        <w:gridCol w:w="3065"/>
        <w:gridCol w:w="75"/>
        <w:gridCol w:w="2401"/>
        <w:gridCol w:w="75"/>
        <w:gridCol w:w="2401"/>
      </w:tblGrid>
      <w:tr w:rsidR="00000000">
        <w:trPr>
          <w:divId w:val="43679182"/>
        </w:trPr>
        <w:tc>
          <w:tcPr>
            <w:tcW w:w="2000" w:type="pct"/>
            <w:gridSpan w:val="2"/>
            <w:vAlign w:val="bottom"/>
            <w:hideMark/>
          </w:tcPr>
          <w:p w:rsidR="00000000" w:rsidRDefault="00827839">
            <w:pPr>
              <w:pStyle w:val="a3"/>
              <w:spacing w:before="0" w:beforeAutospacing="0" w:after="0" w:afterAutospacing="0"/>
              <w:jc w:val="center"/>
              <w:rPr>
                <w:sz w:val="20"/>
                <w:szCs w:val="20"/>
              </w:rPr>
            </w:pPr>
            <w:r>
              <w:rPr>
                <w:sz w:val="20"/>
                <w:szCs w:val="20"/>
                <w:u w:val="single"/>
              </w:rPr>
              <w:t>Signature</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Title</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Date</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MICHAEL A. STIVALA</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President, Chief Executive</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(Michael A. Stivala)</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Officer and 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HAROLD R. LOGAN, JR.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Chairman and 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(Harold R. Logan, Jr.)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LAWRENCE C. CALDWELL</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(Lawrence C. Caldwell)</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MATTHEW J. CHANIN</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(Matthew J. Chanin)</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xml:space="preserve">By: </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TERENCE J. CONNORS</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(Terence J. Connors)</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xml:space="preserve">By: </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WILLIAM M. LANDUYT</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(William M. Landuyt)</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JOHN HOYT STOOKEY</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(John Hoyt Stookey)</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JANE SWIFT</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Supervisor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(Jane Swift)</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MICHAEL A. KUGLIN</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Chief Financial Officer and</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(Michael A. Kuglin)</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Chief Accounting Officer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18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c>
          <w:tcPr>
            <w:tcW w:w="50" w:type="pct"/>
            <w:hideMark/>
          </w:tcPr>
          <w:p w:rsidR="00000000" w:rsidRDefault="00827839">
            <w:pPr>
              <w:pStyle w:val="a3"/>
              <w:spacing w:before="0" w:beforeAutospacing="0" w:after="0" w:afterAutospacing="0"/>
              <w:rPr>
                <w:sz w:val="12"/>
                <w:szCs w:val="12"/>
              </w:rPr>
            </w:pPr>
            <w:r>
              <w:rPr>
                <w:sz w:val="12"/>
                <w:szCs w:val="12"/>
              </w:rPr>
              <w:t> </w:t>
            </w:r>
          </w:p>
        </w:tc>
        <w:tc>
          <w:tcPr>
            <w:tcW w:w="1450" w:type="pct"/>
            <w:vAlign w:val="bottom"/>
            <w:hideMark/>
          </w:tcPr>
          <w:p w:rsidR="00000000" w:rsidRDefault="00827839">
            <w:pPr>
              <w:pStyle w:val="a3"/>
              <w:spacing w:before="0" w:beforeAutospacing="0" w:after="0" w:afterAutospacing="0"/>
              <w:rPr>
                <w:sz w:val="12"/>
                <w:szCs w:val="12"/>
              </w:rPr>
            </w:pPr>
            <w:r>
              <w:rPr>
                <w:sz w:val="12"/>
                <w:szCs w:val="12"/>
              </w:rPr>
              <w:t> </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By:</w:t>
            </w:r>
          </w:p>
        </w:tc>
        <w:tc>
          <w:tcPr>
            <w:tcW w:w="1850" w:type="pct"/>
            <w:tcBorders>
              <w:bottom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/s/ DANIEL S. BLOOMSTEIN</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Vice President and Controller</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u w:val="single"/>
              </w:rPr>
              <w:t>November 27, 2019</w:t>
            </w:r>
          </w:p>
        </w:tc>
      </w:tr>
      <w:tr w:rsidR="00000000">
        <w:trPr>
          <w:divId w:val="43679182"/>
        </w:trPr>
        <w:tc>
          <w:tcPr>
            <w:tcW w:w="1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1850" w:type="pct"/>
            <w:tcBorders>
              <w:top w:val="single" w:sz="6" w:space="0" w:color="000000"/>
            </w:tcBorders>
            <w:vAlign w:val="bottom"/>
            <w:hideMark/>
          </w:tcPr>
          <w:p w:rsidR="00000000" w:rsidRDefault="00827839">
            <w:pPr>
              <w:pStyle w:val="a3"/>
              <w:spacing w:before="0" w:beforeAutospacing="0" w:after="0" w:afterAutospacing="0"/>
              <w:rPr>
                <w:sz w:val="20"/>
                <w:szCs w:val="20"/>
              </w:rPr>
            </w:pPr>
            <w:r>
              <w:rPr>
                <w:sz w:val="20"/>
                <w:szCs w:val="20"/>
              </w:rPr>
              <w:t>(Daniel S. Bloomstein)</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c>
          <w:tcPr>
            <w:tcW w:w="50" w:type="pct"/>
            <w:hideMark/>
          </w:tcPr>
          <w:p w:rsidR="00000000" w:rsidRDefault="00827839">
            <w:pPr>
              <w:pStyle w:val="a3"/>
              <w:spacing w:before="0" w:beforeAutospacing="0" w:after="0" w:afterAutospacing="0"/>
              <w:rPr>
                <w:sz w:val="20"/>
                <w:szCs w:val="20"/>
              </w:rPr>
            </w:pPr>
            <w:r>
              <w:rPr>
                <w:sz w:val="20"/>
                <w:szCs w:val="20"/>
              </w:rPr>
              <w:t> </w:t>
            </w:r>
          </w:p>
        </w:tc>
        <w:tc>
          <w:tcPr>
            <w:tcW w:w="1450" w:type="pct"/>
            <w:vAlign w:val="bottom"/>
            <w:hideMark/>
          </w:tcPr>
          <w:p w:rsidR="00000000" w:rsidRDefault="00827839">
            <w:pPr>
              <w:pStyle w:val="a3"/>
              <w:spacing w:before="0" w:beforeAutospacing="0" w:after="0" w:afterAutospacing="0"/>
              <w:rPr>
                <w:sz w:val="20"/>
                <w:szCs w:val="20"/>
              </w:rPr>
            </w:pPr>
            <w:r>
              <w:rPr>
                <w:sz w:val="20"/>
                <w:szCs w:val="20"/>
              </w:rPr>
              <w:t> </w:t>
            </w:r>
          </w:p>
        </w:tc>
      </w:tr>
    </w:tbl>
    <w:p w:rsidR="00000000" w:rsidRDefault="00827839">
      <w:pPr>
        <w:pStyle w:val="a3"/>
        <w:spacing w:before="0" w:beforeAutospacing="0" w:after="0" w:afterAutospacing="0"/>
        <w:jc w:val="both"/>
        <w:rPr>
          <w:sz w:val="18"/>
          <w:szCs w:val="18"/>
        </w:rPr>
      </w:pPr>
      <w:r>
        <w:rPr>
          <w:sz w:val="18"/>
          <w:szCs w:val="18"/>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87</w:t>
      </w:r>
    </w:p>
    <w:p w:rsidR="00000000" w:rsidRDefault="00827839">
      <w:pPr>
        <w:rPr>
          <w:rFonts w:eastAsia="Times New Roman"/>
        </w:rPr>
      </w:pPr>
      <w:r>
        <w:rPr>
          <w:rFonts w:eastAsia="Times New Roman"/>
        </w:rPr>
        <w:pict>
          <v:rect id="_x0000_i1115"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INDEX TO FINANCIAL STATEMENTS</w:t>
      </w:r>
    </w:p>
    <w:p w:rsidR="00000000" w:rsidRDefault="00827839">
      <w:pPr>
        <w:pStyle w:val="a3"/>
        <w:spacing w:before="24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816"/>
        <w:gridCol w:w="490"/>
      </w:tblGrid>
      <w:tr w:rsidR="00000000">
        <w:trPr>
          <w:divId w:val="498085239"/>
        </w:trPr>
        <w:tc>
          <w:tcPr>
            <w:tcW w:w="4705" w:type="pct"/>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295" w:type="pct"/>
            <w:tcBorders>
              <w:bottom w:val="single" w:sz="6" w:space="0" w:color="000000"/>
            </w:tcBorders>
            <w:vAlign w:val="bottom"/>
            <w:hideMark/>
          </w:tcPr>
          <w:p w:rsidR="00000000" w:rsidRDefault="00827839">
            <w:pPr>
              <w:pStyle w:val="a3"/>
              <w:spacing w:before="0" w:beforeAutospacing="0" w:after="0" w:afterAutospacing="0"/>
              <w:jc w:val="center"/>
              <w:rPr>
                <w:sz w:val="20"/>
                <w:szCs w:val="20"/>
              </w:rPr>
            </w:pPr>
            <w:r>
              <w:rPr>
                <w:sz w:val="20"/>
                <w:szCs w:val="20"/>
              </w:rPr>
              <w:t>Page</w:t>
            </w:r>
          </w:p>
        </w:tc>
      </w:tr>
      <w:tr w:rsidR="00000000">
        <w:trPr>
          <w:divId w:val="498085239"/>
        </w:trPr>
        <w:tc>
          <w:tcPr>
            <w:tcW w:w="4705" w:type="pct"/>
            <w:hideMark/>
          </w:tcPr>
          <w:p w:rsidR="00000000" w:rsidRDefault="00827839">
            <w:pPr>
              <w:pStyle w:val="a3"/>
              <w:spacing w:before="0" w:beforeAutospacing="0" w:after="0" w:afterAutospacing="0"/>
              <w:rPr>
                <w:sz w:val="12"/>
                <w:szCs w:val="12"/>
              </w:rPr>
            </w:pPr>
            <w:r>
              <w:rPr>
                <w:sz w:val="12"/>
                <w:szCs w:val="12"/>
              </w:rPr>
              <w:t> </w:t>
            </w:r>
          </w:p>
        </w:tc>
        <w:tc>
          <w:tcPr>
            <w:tcW w:w="295" w:type="pct"/>
            <w:tcBorders>
              <w:top w:val="single" w:sz="6" w:space="0" w:color="000000"/>
            </w:tcBorders>
            <w:hideMark/>
          </w:tcPr>
          <w:p w:rsidR="00000000" w:rsidRDefault="00827839">
            <w:pPr>
              <w:pStyle w:val="a3"/>
              <w:spacing w:before="0" w:beforeAutospacing="0" w:after="0" w:afterAutospacing="0"/>
              <w:rPr>
                <w:sz w:val="12"/>
                <w:szCs w:val="12"/>
              </w:rPr>
            </w:pPr>
            <w:r>
              <w:rPr>
                <w:sz w:val="12"/>
                <w:szCs w:val="12"/>
              </w:rPr>
              <w:t> </w:t>
            </w:r>
          </w:p>
        </w:tc>
      </w:tr>
      <w:tr w:rsidR="00000000">
        <w:trPr>
          <w:divId w:val="498085239"/>
        </w:trPr>
        <w:tc>
          <w:tcPr>
            <w:tcW w:w="4705" w:type="pct"/>
            <w:hideMark/>
          </w:tcPr>
          <w:p w:rsidR="00000000" w:rsidRDefault="00827839">
            <w:pPr>
              <w:pStyle w:val="a3"/>
              <w:spacing w:before="0" w:beforeAutospacing="0" w:after="0" w:afterAutospacing="0"/>
              <w:rPr>
                <w:sz w:val="20"/>
                <w:szCs w:val="20"/>
              </w:rPr>
            </w:pPr>
            <w:hyperlink w:anchor="REPORT_INDEPENDENT_REGISTERED_PUBLIC_AC" w:history="1">
              <w:r>
                <w:rPr>
                  <w:rStyle w:val="a4"/>
                  <w:sz w:val="20"/>
                  <w:szCs w:val="20"/>
                </w:rPr>
                <w:t>Report of Independent Registered Public Accounting Firm</w:t>
              </w:r>
            </w:hyperlink>
          </w:p>
        </w:tc>
        <w:tc>
          <w:tcPr>
            <w:tcW w:w="295" w:type="pct"/>
            <w:vAlign w:val="bottom"/>
            <w:hideMark/>
          </w:tcPr>
          <w:p w:rsidR="00000000" w:rsidRDefault="00827839">
            <w:pPr>
              <w:pStyle w:val="a3"/>
              <w:spacing w:before="0" w:beforeAutospacing="0" w:after="0" w:afterAutospacing="0"/>
              <w:jc w:val="center"/>
              <w:rPr>
                <w:sz w:val="20"/>
                <w:szCs w:val="20"/>
              </w:rPr>
            </w:pPr>
            <w:r>
              <w:rPr>
                <w:sz w:val="20"/>
                <w:szCs w:val="20"/>
              </w:rPr>
              <w:t xml:space="preserve">F-2 </w:t>
            </w:r>
          </w:p>
        </w:tc>
      </w:tr>
      <w:tr w:rsidR="00000000">
        <w:trPr>
          <w:divId w:val="498085239"/>
        </w:trPr>
        <w:tc>
          <w:tcPr>
            <w:tcW w:w="4705" w:type="pct"/>
            <w:hideMark/>
          </w:tcPr>
          <w:p w:rsidR="00000000" w:rsidRDefault="00827839">
            <w:pPr>
              <w:pStyle w:val="a3"/>
              <w:spacing w:before="0" w:beforeAutospacing="0" w:after="0" w:afterAutospacing="0"/>
              <w:rPr>
                <w:sz w:val="12"/>
                <w:szCs w:val="12"/>
              </w:rPr>
            </w:pPr>
            <w:r>
              <w:rPr>
                <w:sz w:val="12"/>
                <w:szCs w:val="12"/>
              </w:rPr>
              <w:t> </w:t>
            </w:r>
          </w:p>
        </w:tc>
        <w:tc>
          <w:tcPr>
            <w:tcW w:w="295"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498085239"/>
        </w:trPr>
        <w:tc>
          <w:tcPr>
            <w:tcW w:w="4705" w:type="pct"/>
            <w:hideMark/>
          </w:tcPr>
          <w:p w:rsidR="00000000" w:rsidRDefault="00827839">
            <w:pPr>
              <w:pStyle w:val="a3"/>
              <w:spacing w:before="0" w:beforeAutospacing="0" w:after="0" w:afterAutospacing="0"/>
              <w:rPr>
                <w:sz w:val="20"/>
                <w:szCs w:val="20"/>
              </w:rPr>
            </w:pPr>
            <w:hyperlink w:anchor="CONSOLIDATED_BALANCE_SHEETS" w:history="1">
              <w:r>
                <w:rPr>
                  <w:rStyle w:val="a4"/>
                  <w:sz w:val="20"/>
                  <w:szCs w:val="20"/>
                </w:rPr>
                <w:t>Consolidated Balance Sheets – As of September 28, 2019 and September 29, 2018</w:t>
              </w:r>
            </w:hyperlink>
          </w:p>
        </w:tc>
        <w:tc>
          <w:tcPr>
            <w:tcW w:w="295" w:type="pct"/>
            <w:vAlign w:val="bottom"/>
            <w:hideMark/>
          </w:tcPr>
          <w:p w:rsidR="00000000" w:rsidRDefault="00827839">
            <w:pPr>
              <w:pStyle w:val="a3"/>
              <w:spacing w:before="0" w:beforeAutospacing="0" w:after="0" w:afterAutospacing="0"/>
              <w:jc w:val="center"/>
              <w:rPr>
                <w:sz w:val="20"/>
                <w:szCs w:val="20"/>
              </w:rPr>
            </w:pPr>
            <w:r>
              <w:rPr>
                <w:sz w:val="20"/>
                <w:szCs w:val="20"/>
              </w:rPr>
              <w:t>F-4</w:t>
            </w:r>
          </w:p>
        </w:tc>
      </w:tr>
      <w:tr w:rsidR="00000000">
        <w:trPr>
          <w:divId w:val="498085239"/>
        </w:trPr>
        <w:tc>
          <w:tcPr>
            <w:tcW w:w="4705" w:type="pct"/>
            <w:hideMark/>
          </w:tcPr>
          <w:p w:rsidR="00000000" w:rsidRDefault="00827839">
            <w:pPr>
              <w:pStyle w:val="a3"/>
              <w:spacing w:before="0" w:beforeAutospacing="0" w:after="0" w:afterAutospacing="0"/>
              <w:rPr>
                <w:sz w:val="12"/>
                <w:szCs w:val="12"/>
              </w:rPr>
            </w:pPr>
            <w:r>
              <w:rPr>
                <w:sz w:val="12"/>
                <w:szCs w:val="12"/>
              </w:rPr>
              <w:t> </w:t>
            </w:r>
          </w:p>
        </w:tc>
        <w:tc>
          <w:tcPr>
            <w:tcW w:w="295"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498085239"/>
        </w:trPr>
        <w:tc>
          <w:tcPr>
            <w:tcW w:w="4705" w:type="pct"/>
            <w:hideMark/>
          </w:tcPr>
          <w:p w:rsidR="00000000" w:rsidRDefault="00827839">
            <w:pPr>
              <w:pStyle w:val="a3"/>
              <w:spacing w:before="0" w:beforeAutospacing="0" w:after="0" w:afterAutospacing="0"/>
              <w:rPr>
                <w:sz w:val="20"/>
                <w:szCs w:val="20"/>
              </w:rPr>
            </w:pPr>
            <w:hyperlink w:anchor="CONSOLIDATED_STATEMENTS_OPERATIONS" w:history="1">
              <w:r>
                <w:rPr>
                  <w:rStyle w:val="a4"/>
                  <w:sz w:val="20"/>
                  <w:szCs w:val="20"/>
                </w:rPr>
                <w:t>Consolidated Statements of Operations – Years Ended September 28, 2019, September 29, 2018 and September 30, 2017</w:t>
              </w:r>
            </w:hyperlink>
          </w:p>
        </w:tc>
        <w:tc>
          <w:tcPr>
            <w:tcW w:w="295" w:type="pct"/>
            <w:vAlign w:val="bottom"/>
            <w:hideMark/>
          </w:tcPr>
          <w:p w:rsidR="00000000" w:rsidRDefault="00827839">
            <w:pPr>
              <w:pStyle w:val="a3"/>
              <w:spacing w:before="0" w:beforeAutospacing="0" w:after="0" w:afterAutospacing="0"/>
              <w:jc w:val="center"/>
              <w:rPr>
                <w:sz w:val="20"/>
                <w:szCs w:val="20"/>
              </w:rPr>
            </w:pPr>
            <w:r>
              <w:rPr>
                <w:sz w:val="20"/>
                <w:szCs w:val="20"/>
              </w:rPr>
              <w:t>F-5</w:t>
            </w:r>
          </w:p>
        </w:tc>
      </w:tr>
      <w:tr w:rsidR="00000000">
        <w:trPr>
          <w:divId w:val="498085239"/>
        </w:trPr>
        <w:tc>
          <w:tcPr>
            <w:tcW w:w="4705" w:type="pct"/>
            <w:hideMark/>
          </w:tcPr>
          <w:p w:rsidR="00000000" w:rsidRDefault="00827839">
            <w:pPr>
              <w:pStyle w:val="a3"/>
              <w:spacing w:before="0" w:beforeAutospacing="0" w:after="0" w:afterAutospacing="0"/>
              <w:rPr>
                <w:sz w:val="12"/>
                <w:szCs w:val="12"/>
              </w:rPr>
            </w:pPr>
            <w:r>
              <w:rPr>
                <w:sz w:val="12"/>
                <w:szCs w:val="12"/>
              </w:rPr>
              <w:t> </w:t>
            </w:r>
          </w:p>
        </w:tc>
        <w:tc>
          <w:tcPr>
            <w:tcW w:w="295"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498085239"/>
        </w:trPr>
        <w:tc>
          <w:tcPr>
            <w:tcW w:w="4705" w:type="pct"/>
            <w:hideMark/>
          </w:tcPr>
          <w:p w:rsidR="00000000" w:rsidRDefault="00827839">
            <w:pPr>
              <w:pStyle w:val="a3"/>
              <w:spacing w:before="0" w:beforeAutospacing="0" w:after="0" w:afterAutospacing="0"/>
              <w:ind w:left="274" w:hanging="274"/>
              <w:rPr>
                <w:sz w:val="20"/>
                <w:szCs w:val="20"/>
              </w:rPr>
            </w:pPr>
            <w:hyperlink w:anchor="CONSOLIDATED_STATEMENTS_COMPREHENSIVE_I" w:history="1">
              <w:r>
                <w:rPr>
                  <w:rStyle w:val="a4"/>
                  <w:sz w:val="20"/>
                  <w:szCs w:val="20"/>
                </w:rPr>
                <w:t>Consolidated Statements of Comprehensive Income – Years Ended September 28, 2019, September 29, 2018 and September 30, 2017</w:t>
              </w:r>
            </w:hyperlink>
          </w:p>
        </w:tc>
        <w:tc>
          <w:tcPr>
            <w:tcW w:w="295" w:type="pct"/>
            <w:vAlign w:val="bottom"/>
            <w:hideMark/>
          </w:tcPr>
          <w:p w:rsidR="00000000" w:rsidRDefault="00827839">
            <w:pPr>
              <w:pStyle w:val="a3"/>
              <w:spacing w:before="0" w:beforeAutospacing="0" w:after="0" w:afterAutospacing="0"/>
              <w:jc w:val="center"/>
              <w:rPr>
                <w:sz w:val="20"/>
                <w:szCs w:val="20"/>
              </w:rPr>
            </w:pPr>
            <w:r>
              <w:rPr>
                <w:sz w:val="20"/>
                <w:szCs w:val="20"/>
              </w:rPr>
              <w:t>F-6</w:t>
            </w:r>
          </w:p>
        </w:tc>
      </w:tr>
      <w:tr w:rsidR="00000000">
        <w:trPr>
          <w:divId w:val="498085239"/>
        </w:trPr>
        <w:tc>
          <w:tcPr>
            <w:tcW w:w="4705" w:type="pct"/>
            <w:hideMark/>
          </w:tcPr>
          <w:p w:rsidR="00000000" w:rsidRDefault="00827839">
            <w:pPr>
              <w:pStyle w:val="a3"/>
              <w:spacing w:before="0" w:beforeAutospacing="0" w:after="0" w:afterAutospacing="0"/>
              <w:rPr>
                <w:sz w:val="12"/>
                <w:szCs w:val="12"/>
              </w:rPr>
            </w:pPr>
            <w:r>
              <w:rPr>
                <w:sz w:val="12"/>
                <w:szCs w:val="12"/>
              </w:rPr>
              <w:t> </w:t>
            </w:r>
          </w:p>
        </w:tc>
        <w:tc>
          <w:tcPr>
            <w:tcW w:w="295"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498085239"/>
        </w:trPr>
        <w:tc>
          <w:tcPr>
            <w:tcW w:w="4705" w:type="pct"/>
            <w:hideMark/>
          </w:tcPr>
          <w:p w:rsidR="00000000" w:rsidRDefault="00827839">
            <w:pPr>
              <w:pStyle w:val="a3"/>
              <w:spacing w:before="0" w:beforeAutospacing="0" w:after="0" w:afterAutospacing="0"/>
              <w:rPr>
                <w:sz w:val="20"/>
                <w:szCs w:val="20"/>
              </w:rPr>
            </w:pPr>
            <w:hyperlink w:anchor="CONSOLIDATED_STATEMENTS_CASH_FLOWS" w:history="1">
              <w:r>
                <w:rPr>
                  <w:rStyle w:val="a4"/>
                  <w:sz w:val="20"/>
                  <w:szCs w:val="20"/>
                </w:rPr>
                <w:t>Consolidated Statements of Cash Flows – Years Ended September 28,</w:t>
              </w:r>
              <w:r>
                <w:rPr>
                  <w:rStyle w:val="a4"/>
                  <w:sz w:val="20"/>
                  <w:szCs w:val="20"/>
                </w:rPr>
                <w:t xml:space="preserve"> 2019, September 29, 2018 and September 30, 2017</w:t>
              </w:r>
            </w:hyperlink>
          </w:p>
        </w:tc>
        <w:tc>
          <w:tcPr>
            <w:tcW w:w="295" w:type="pct"/>
            <w:vAlign w:val="bottom"/>
            <w:hideMark/>
          </w:tcPr>
          <w:p w:rsidR="00000000" w:rsidRDefault="00827839">
            <w:pPr>
              <w:pStyle w:val="a3"/>
              <w:spacing w:before="0" w:beforeAutospacing="0" w:after="0" w:afterAutospacing="0"/>
              <w:jc w:val="center"/>
              <w:rPr>
                <w:sz w:val="20"/>
                <w:szCs w:val="20"/>
              </w:rPr>
            </w:pPr>
            <w:r>
              <w:rPr>
                <w:sz w:val="20"/>
                <w:szCs w:val="20"/>
              </w:rPr>
              <w:t>F-7</w:t>
            </w:r>
          </w:p>
        </w:tc>
      </w:tr>
      <w:tr w:rsidR="00000000">
        <w:trPr>
          <w:divId w:val="498085239"/>
        </w:trPr>
        <w:tc>
          <w:tcPr>
            <w:tcW w:w="4705" w:type="pct"/>
            <w:hideMark/>
          </w:tcPr>
          <w:p w:rsidR="00000000" w:rsidRDefault="00827839">
            <w:pPr>
              <w:pStyle w:val="a3"/>
              <w:spacing w:before="0" w:beforeAutospacing="0" w:after="0" w:afterAutospacing="0"/>
              <w:rPr>
                <w:sz w:val="12"/>
                <w:szCs w:val="12"/>
              </w:rPr>
            </w:pPr>
            <w:r>
              <w:rPr>
                <w:sz w:val="12"/>
                <w:szCs w:val="12"/>
              </w:rPr>
              <w:t> </w:t>
            </w:r>
          </w:p>
        </w:tc>
        <w:tc>
          <w:tcPr>
            <w:tcW w:w="295"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498085239"/>
        </w:trPr>
        <w:tc>
          <w:tcPr>
            <w:tcW w:w="4705" w:type="pct"/>
            <w:hideMark/>
          </w:tcPr>
          <w:p w:rsidR="00000000" w:rsidRDefault="00827839">
            <w:pPr>
              <w:pStyle w:val="a3"/>
              <w:spacing w:before="0" w:beforeAutospacing="0" w:after="0" w:afterAutospacing="0"/>
              <w:ind w:left="274" w:hanging="274"/>
              <w:rPr>
                <w:sz w:val="20"/>
                <w:szCs w:val="20"/>
              </w:rPr>
            </w:pPr>
            <w:hyperlink w:anchor="CONSOLIDATED_STATEMENTS_PARTNERS_CAPITA" w:history="1">
              <w:r>
                <w:rPr>
                  <w:rStyle w:val="a4"/>
                  <w:sz w:val="20"/>
                  <w:szCs w:val="20"/>
                </w:rPr>
                <w:t>Consolidated Statements of Partners’ Capital – Years Ended September 28, 2019, September 29, 2018 and September 30, 2017</w:t>
              </w:r>
            </w:hyperlink>
          </w:p>
        </w:tc>
        <w:tc>
          <w:tcPr>
            <w:tcW w:w="295" w:type="pct"/>
            <w:vAlign w:val="bottom"/>
            <w:hideMark/>
          </w:tcPr>
          <w:p w:rsidR="00000000" w:rsidRDefault="00827839">
            <w:pPr>
              <w:pStyle w:val="a3"/>
              <w:spacing w:before="0" w:beforeAutospacing="0" w:after="0" w:afterAutospacing="0"/>
              <w:jc w:val="center"/>
              <w:rPr>
                <w:sz w:val="20"/>
                <w:szCs w:val="20"/>
              </w:rPr>
            </w:pPr>
            <w:r>
              <w:rPr>
                <w:sz w:val="20"/>
                <w:szCs w:val="20"/>
              </w:rPr>
              <w:t>F-8</w:t>
            </w:r>
          </w:p>
        </w:tc>
      </w:tr>
      <w:tr w:rsidR="00000000">
        <w:trPr>
          <w:divId w:val="498085239"/>
        </w:trPr>
        <w:tc>
          <w:tcPr>
            <w:tcW w:w="4705" w:type="pct"/>
            <w:hideMark/>
          </w:tcPr>
          <w:p w:rsidR="00000000" w:rsidRDefault="00827839">
            <w:pPr>
              <w:pStyle w:val="a3"/>
              <w:spacing w:before="0" w:beforeAutospacing="0" w:after="0" w:afterAutospacing="0"/>
              <w:rPr>
                <w:sz w:val="12"/>
                <w:szCs w:val="12"/>
              </w:rPr>
            </w:pPr>
            <w:r>
              <w:rPr>
                <w:sz w:val="12"/>
                <w:szCs w:val="12"/>
              </w:rPr>
              <w:t> </w:t>
            </w:r>
          </w:p>
        </w:tc>
        <w:tc>
          <w:tcPr>
            <w:tcW w:w="295" w:type="pct"/>
            <w:vAlign w:val="bottom"/>
            <w:hideMark/>
          </w:tcPr>
          <w:p w:rsidR="00000000" w:rsidRDefault="00827839">
            <w:pPr>
              <w:pStyle w:val="a3"/>
              <w:spacing w:before="0" w:beforeAutospacing="0" w:after="0" w:afterAutospacing="0"/>
              <w:jc w:val="center"/>
              <w:rPr>
                <w:sz w:val="12"/>
                <w:szCs w:val="12"/>
              </w:rPr>
            </w:pPr>
            <w:r>
              <w:rPr>
                <w:sz w:val="12"/>
                <w:szCs w:val="12"/>
              </w:rPr>
              <w:t> </w:t>
            </w:r>
          </w:p>
        </w:tc>
      </w:tr>
      <w:tr w:rsidR="00000000">
        <w:trPr>
          <w:divId w:val="498085239"/>
        </w:trPr>
        <w:tc>
          <w:tcPr>
            <w:tcW w:w="4705" w:type="pct"/>
            <w:hideMark/>
          </w:tcPr>
          <w:p w:rsidR="00000000" w:rsidRDefault="00827839">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w:t>
              </w:r>
            </w:hyperlink>
          </w:p>
        </w:tc>
        <w:tc>
          <w:tcPr>
            <w:tcW w:w="295" w:type="pct"/>
            <w:vAlign w:val="bottom"/>
            <w:hideMark/>
          </w:tcPr>
          <w:p w:rsidR="00000000" w:rsidRDefault="00827839">
            <w:pPr>
              <w:pStyle w:val="a3"/>
              <w:spacing w:before="0" w:beforeAutospacing="0" w:after="0" w:afterAutospacing="0"/>
              <w:jc w:val="center"/>
              <w:rPr>
                <w:sz w:val="20"/>
                <w:szCs w:val="20"/>
              </w:rPr>
            </w:pPr>
            <w:r>
              <w:rPr>
                <w:sz w:val="20"/>
                <w:szCs w:val="20"/>
              </w:rPr>
              <w:t>F-9</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w:t>
      </w:r>
    </w:p>
    <w:p w:rsidR="00000000" w:rsidRDefault="00827839">
      <w:pPr>
        <w:rPr>
          <w:rFonts w:eastAsia="Times New Roman"/>
        </w:rPr>
      </w:pPr>
      <w:r>
        <w:rPr>
          <w:rFonts w:eastAsia="Times New Roman"/>
        </w:rPr>
        <w:pict>
          <v:rect id="_x0000_i1116"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00" w:beforeAutospacing="0" w:after="0" w:afterAutospacing="0"/>
        <w:jc w:val="center"/>
        <w:rPr>
          <w:b/>
          <w:bCs/>
          <w:sz w:val="20"/>
          <w:szCs w:val="20"/>
        </w:rPr>
      </w:pPr>
      <w:r>
        <w:rPr>
          <w:b/>
          <w:bCs/>
          <w:sz w:val="20"/>
          <w:szCs w:val="20"/>
        </w:rPr>
        <w:t>Report of Independent Registered Public Accounting Firm</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0" w:beforeAutospacing="0" w:after="0" w:afterAutospacing="0"/>
        <w:rPr>
          <w:sz w:val="20"/>
          <w:szCs w:val="20"/>
        </w:rPr>
      </w:pPr>
      <w:r>
        <w:rPr>
          <w:sz w:val="20"/>
          <w:szCs w:val="20"/>
        </w:rPr>
        <w:t>To</w:t>
      </w:r>
      <w:r>
        <w:rPr>
          <w:spacing w:val="22"/>
          <w:sz w:val="20"/>
          <w:szCs w:val="20"/>
        </w:rPr>
        <w:t xml:space="preserve"> </w:t>
      </w:r>
      <w:r>
        <w:rPr>
          <w:sz w:val="20"/>
          <w:szCs w:val="20"/>
        </w:rPr>
        <w:t>the</w:t>
      </w:r>
      <w:r>
        <w:rPr>
          <w:spacing w:val="22"/>
          <w:sz w:val="20"/>
          <w:szCs w:val="20"/>
        </w:rPr>
        <w:t xml:space="preserve"> </w:t>
      </w:r>
      <w:r>
        <w:rPr>
          <w:sz w:val="20"/>
          <w:szCs w:val="20"/>
        </w:rPr>
        <w:t>Board</w:t>
      </w:r>
      <w:r>
        <w:rPr>
          <w:spacing w:val="24"/>
          <w:sz w:val="20"/>
          <w:szCs w:val="20"/>
        </w:rPr>
        <w:t xml:space="preserve"> </w:t>
      </w:r>
      <w:r>
        <w:rPr>
          <w:sz w:val="20"/>
          <w:szCs w:val="20"/>
        </w:rPr>
        <w:t>of</w:t>
      </w:r>
      <w:r>
        <w:rPr>
          <w:spacing w:val="4"/>
          <w:sz w:val="20"/>
          <w:szCs w:val="20"/>
        </w:rPr>
        <w:t xml:space="preserve"> </w:t>
      </w:r>
      <w:r>
        <w:rPr>
          <w:sz w:val="20"/>
          <w:szCs w:val="20"/>
        </w:rPr>
        <w:t>Supervisors</w:t>
      </w:r>
      <w:r>
        <w:rPr>
          <w:spacing w:val="3"/>
          <w:sz w:val="20"/>
          <w:szCs w:val="20"/>
        </w:rPr>
        <w:t xml:space="preserve"> </w:t>
      </w:r>
      <w:r>
        <w:rPr>
          <w:sz w:val="20"/>
          <w:szCs w:val="20"/>
        </w:rPr>
        <w:t>and</w:t>
      </w:r>
      <w:r>
        <w:rPr>
          <w:spacing w:val="27"/>
          <w:sz w:val="20"/>
          <w:szCs w:val="20"/>
        </w:rPr>
        <w:t xml:space="preserve"> </w:t>
      </w:r>
      <w:r>
        <w:rPr>
          <w:sz w:val="20"/>
          <w:szCs w:val="20"/>
        </w:rPr>
        <w:t>Unitholders</w:t>
      </w:r>
      <w:r>
        <w:rPr>
          <w:spacing w:val="28"/>
          <w:sz w:val="20"/>
          <w:szCs w:val="20"/>
        </w:rPr>
        <w:t xml:space="preserve"> </w:t>
      </w:r>
      <w:r>
        <w:rPr>
          <w:sz w:val="20"/>
          <w:szCs w:val="20"/>
        </w:rPr>
        <w:t>of</w:t>
      </w:r>
    </w:p>
    <w:p w:rsidR="00000000" w:rsidRDefault="00827839">
      <w:pPr>
        <w:pStyle w:val="a3"/>
        <w:spacing w:before="20" w:beforeAutospacing="0" w:after="0" w:afterAutospacing="0"/>
        <w:rPr>
          <w:sz w:val="20"/>
          <w:szCs w:val="20"/>
        </w:rPr>
      </w:pPr>
      <w:r>
        <w:rPr>
          <w:sz w:val="20"/>
          <w:szCs w:val="20"/>
        </w:rPr>
        <w:t>Suburban Propane</w:t>
      </w:r>
      <w:r>
        <w:rPr>
          <w:spacing w:val="34"/>
          <w:sz w:val="20"/>
          <w:szCs w:val="20"/>
        </w:rPr>
        <w:t xml:space="preserve"> </w:t>
      </w:r>
      <w:r>
        <w:rPr>
          <w:sz w:val="20"/>
          <w:szCs w:val="20"/>
        </w:rPr>
        <w:t>Partners,</w:t>
      </w:r>
      <w:r>
        <w:rPr>
          <w:spacing w:val="29"/>
          <w:sz w:val="20"/>
          <w:szCs w:val="20"/>
        </w:rPr>
        <w:t xml:space="preserve"> </w:t>
      </w:r>
      <w:r>
        <w:rPr>
          <w:sz w:val="20"/>
          <w:szCs w:val="20"/>
        </w:rPr>
        <w:t>L.P.</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b/>
          <w:bCs/>
          <w:i/>
          <w:iCs/>
          <w:color w:val="000000"/>
          <w:sz w:val="20"/>
          <w:szCs w:val="20"/>
        </w:rPr>
      </w:pPr>
      <w:r>
        <w:rPr>
          <w:b/>
          <w:bCs/>
          <w:i/>
          <w:iCs/>
          <w:color w:val="000000"/>
          <w:sz w:val="20"/>
          <w:szCs w:val="20"/>
        </w:rPr>
        <w:t>Opinions on the Financial Statements and Internal Control over Financial Reporting</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color w:val="000000"/>
          <w:sz w:val="20"/>
          <w:szCs w:val="20"/>
        </w:rPr>
      </w:pPr>
      <w:r>
        <w:rPr>
          <w:color w:val="000000"/>
          <w:sz w:val="20"/>
          <w:szCs w:val="20"/>
        </w:rPr>
        <w:t>We have audited the accompanying consolidated balance sheets of Suburban Propane Partners, L.P. and its subsidiaries (th</w:t>
      </w:r>
      <w:r>
        <w:rPr>
          <w:color w:val="000000"/>
          <w:sz w:val="20"/>
          <w:szCs w:val="20"/>
        </w:rPr>
        <w:t>e “Partnership”) as of September 28, 2019 and September 29, 2018, and the related consolidated statements of operations, of comprehensive income, of partners’ capital and of cash flows for each of the three years in the period ended September 28, 2019, inc</w:t>
      </w:r>
      <w:r>
        <w:rPr>
          <w:color w:val="000000"/>
          <w:sz w:val="20"/>
          <w:szCs w:val="20"/>
        </w:rPr>
        <w:t>luding the related notes and the financial statement schedule listed in the accompanying index (collectively referred to as the “consolidated financial statements”).</w:t>
      </w:r>
      <w:r>
        <w:rPr>
          <w:b/>
          <w:bCs/>
          <w:color w:val="000000"/>
          <w:sz w:val="20"/>
          <w:szCs w:val="20"/>
        </w:rPr>
        <w:t xml:space="preserve"> </w:t>
      </w:r>
      <w:r>
        <w:rPr>
          <w:color w:val="000000"/>
          <w:sz w:val="20"/>
          <w:szCs w:val="20"/>
        </w:rPr>
        <w:t>We also have audited the Partnership’s internal control over financial reporting as of Sep</w:t>
      </w:r>
      <w:r>
        <w:rPr>
          <w:color w:val="000000"/>
          <w:sz w:val="20"/>
          <w:szCs w:val="20"/>
        </w:rPr>
        <w:t xml:space="preserve">tember 28, 2019, based on criteria established in </w:t>
      </w:r>
      <w:r>
        <w:rPr>
          <w:i/>
          <w:iCs/>
          <w:color w:val="000000"/>
          <w:sz w:val="20"/>
          <w:szCs w:val="20"/>
        </w:rPr>
        <w:t>Internal Control - Integrated Framework</w:t>
      </w:r>
      <w:r>
        <w:rPr>
          <w:color w:val="FF0000"/>
          <w:sz w:val="20"/>
          <w:szCs w:val="20"/>
        </w:rPr>
        <w:t xml:space="preserve"> </w:t>
      </w:r>
      <w:r>
        <w:rPr>
          <w:color w:val="000000"/>
          <w:sz w:val="20"/>
          <w:szCs w:val="20"/>
        </w:rPr>
        <w:t>(2013)</w:t>
      </w:r>
      <w:r>
        <w:rPr>
          <w:color w:val="FF0000"/>
          <w:sz w:val="20"/>
          <w:szCs w:val="20"/>
        </w:rPr>
        <w:t xml:space="preserve"> </w:t>
      </w:r>
      <w:r>
        <w:rPr>
          <w:color w:val="000000"/>
          <w:sz w:val="20"/>
          <w:szCs w:val="20"/>
        </w:rPr>
        <w:t>issued by the Committee of Sponsoring Organizations of the Treadway Commission (COSO).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In our opinion, the consolidated</w:t>
      </w:r>
      <w:r>
        <w:rPr>
          <w:b/>
          <w:bCs/>
          <w:color w:val="FF0000"/>
          <w:sz w:val="20"/>
          <w:szCs w:val="20"/>
        </w:rPr>
        <w:t xml:space="preserve"> </w:t>
      </w:r>
      <w:r>
        <w:rPr>
          <w:sz w:val="20"/>
          <w:szCs w:val="20"/>
        </w:rPr>
        <w:t>financial statements referred to above present fairly, in all material respects, the financial position of the Partnership as of September 28, 2019</w:t>
      </w:r>
      <w:r>
        <w:rPr>
          <w:color w:val="000000"/>
          <w:sz w:val="20"/>
          <w:szCs w:val="20"/>
        </w:rPr>
        <w:t xml:space="preserve"> and </w:t>
      </w:r>
      <w:r>
        <w:rPr>
          <w:sz w:val="20"/>
          <w:szCs w:val="20"/>
        </w:rPr>
        <w:t>September 29, 2018</w:t>
      </w:r>
      <w:r>
        <w:rPr>
          <w:b/>
          <w:bCs/>
          <w:sz w:val="20"/>
          <w:szCs w:val="20"/>
        </w:rPr>
        <w:t xml:space="preserve">, </w:t>
      </w:r>
      <w:r>
        <w:rPr>
          <w:sz w:val="20"/>
          <w:szCs w:val="20"/>
        </w:rPr>
        <w:t>and the results of its</w:t>
      </w:r>
      <w:r>
        <w:rPr>
          <w:color w:val="FF0000"/>
          <w:sz w:val="20"/>
          <w:szCs w:val="20"/>
        </w:rPr>
        <w:t xml:space="preserve"> </w:t>
      </w:r>
      <w:r>
        <w:rPr>
          <w:sz w:val="20"/>
          <w:szCs w:val="20"/>
        </w:rPr>
        <w:t>operations and its</w:t>
      </w:r>
      <w:r>
        <w:rPr>
          <w:color w:val="FF0000"/>
          <w:sz w:val="20"/>
          <w:szCs w:val="20"/>
        </w:rPr>
        <w:t xml:space="preserve"> </w:t>
      </w:r>
      <w:r>
        <w:rPr>
          <w:sz w:val="20"/>
          <w:szCs w:val="20"/>
        </w:rPr>
        <w:t xml:space="preserve">cash flows for each of the three years in </w:t>
      </w:r>
      <w:r>
        <w:rPr>
          <w:sz w:val="20"/>
          <w:szCs w:val="20"/>
        </w:rPr>
        <w:t xml:space="preserve">the period ended September 28, 2019 </w:t>
      </w:r>
      <w:r>
        <w:rPr>
          <w:color w:val="000000"/>
          <w:sz w:val="20"/>
          <w:szCs w:val="20"/>
        </w:rPr>
        <w:t xml:space="preserve">in conformity with accounting principles generally accepted in the United States of America. </w:t>
      </w:r>
      <w:r>
        <w:rPr>
          <w:sz w:val="20"/>
          <w:szCs w:val="20"/>
        </w:rPr>
        <w:t xml:space="preserve">Also in our opinion, the Partnership maintained, in all material respects, effective internal control over financial reporting </w:t>
      </w:r>
      <w:r>
        <w:rPr>
          <w:sz w:val="20"/>
          <w:szCs w:val="20"/>
        </w:rPr>
        <w:t xml:space="preserve">as of September 28, 2019, based on criteria established in </w:t>
      </w:r>
      <w:r>
        <w:rPr>
          <w:i/>
          <w:iCs/>
          <w:sz w:val="20"/>
          <w:szCs w:val="20"/>
        </w:rPr>
        <w:t>Internal Control - Integrated Framework</w:t>
      </w:r>
      <w:r>
        <w:rPr>
          <w:color w:val="FF0000"/>
          <w:sz w:val="20"/>
          <w:szCs w:val="20"/>
        </w:rPr>
        <w:t xml:space="preserve"> </w:t>
      </w:r>
      <w:r>
        <w:rPr>
          <w:sz w:val="20"/>
          <w:szCs w:val="20"/>
        </w:rPr>
        <w:t>(2013)</w:t>
      </w:r>
      <w:r>
        <w:rPr>
          <w:color w:val="FF0000"/>
          <w:sz w:val="20"/>
          <w:szCs w:val="20"/>
        </w:rPr>
        <w:t xml:space="preserve"> </w:t>
      </w:r>
      <w:r>
        <w:rPr>
          <w:sz w:val="20"/>
          <w:szCs w:val="20"/>
        </w:rPr>
        <w:t>issued by the COSO.</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b/>
          <w:bCs/>
          <w:i/>
          <w:iCs/>
          <w:sz w:val="20"/>
          <w:szCs w:val="20"/>
        </w:rPr>
      </w:pPr>
      <w:r>
        <w:rPr>
          <w:b/>
          <w:bCs/>
          <w:i/>
          <w:iCs/>
          <w:sz w:val="20"/>
          <w:szCs w:val="20"/>
        </w:rPr>
        <w:t>Basis for Opinions</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color w:val="000000"/>
          <w:sz w:val="20"/>
          <w:szCs w:val="20"/>
        </w:rPr>
      </w:pPr>
      <w:r>
        <w:rPr>
          <w:color w:val="000000"/>
          <w:sz w:val="20"/>
          <w:szCs w:val="20"/>
        </w:rPr>
        <w:t xml:space="preserve">The Partnership's management is responsible for these consolidated </w:t>
      </w:r>
      <w:r>
        <w:rPr>
          <w:color w:val="000000"/>
          <w:sz w:val="20"/>
          <w:szCs w:val="20"/>
        </w:rPr>
        <w:t>financial statements, for maintaining effective internal control over financial reporting, and for its assessment of the effectiveness of internal control over financial reporting, included in Management's Report on Internal Control Over Financial Reportin</w:t>
      </w:r>
      <w:r>
        <w:rPr>
          <w:color w:val="000000"/>
          <w:sz w:val="20"/>
          <w:szCs w:val="20"/>
        </w:rPr>
        <w:t>g appearing under Item 9A. Our responsibility is to express opinions on the Partnership’s consolidated</w:t>
      </w:r>
      <w:r>
        <w:rPr>
          <w:b/>
          <w:bCs/>
          <w:color w:val="FF0000"/>
          <w:sz w:val="20"/>
          <w:szCs w:val="20"/>
        </w:rPr>
        <w:t xml:space="preserve"> </w:t>
      </w:r>
      <w:r>
        <w:rPr>
          <w:color w:val="000000"/>
          <w:sz w:val="20"/>
          <w:szCs w:val="20"/>
        </w:rPr>
        <w:t>financial statements and on the Partnership's internal control over financial reporting based on our audits. We are a public accounting firm registered w</w:t>
      </w:r>
      <w:r>
        <w:rPr>
          <w:color w:val="000000"/>
          <w:sz w:val="20"/>
          <w:szCs w:val="20"/>
        </w:rPr>
        <w:t>ith the Public Company Accounting Oversight Board (United States) (PCAOB) and are required to be independent with respect to the Company in accordance with the U.S. federal securities laws and the applicable rules and regulations of the Securities and Exch</w:t>
      </w:r>
      <w:r>
        <w:rPr>
          <w:color w:val="000000"/>
          <w:sz w:val="20"/>
          <w:szCs w:val="20"/>
        </w:rPr>
        <w:t>ange Commission and the PCAOB.</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color w:val="000000"/>
          <w:sz w:val="20"/>
          <w:szCs w:val="20"/>
        </w:rPr>
      </w:pPr>
      <w:r>
        <w:rPr>
          <w:color w:val="000000"/>
          <w:sz w:val="20"/>
          <w:szCs w:val="20"/>
        </w:rPr>
        <w:t>We conducted our audits in accordance with the standards of the PCAOB. Those standards require that we plan and perform the audits to obtain reasonable assurance about whether the consolidated</w:t>
      </w:r>
      <w:r>
        <w:rPr>
          <w:b/>
          <w:bCs/>
          <w:color w:val="FF0000"/>
          <w:sz w:val="20"/>
          <w:szCs w:val="20"/>
        </w:rPr>
        <w:t xml:space="preserve"> </w:t>
      </w:r>
      <w:r>
        <w:rPr>
          <w:color w:val="000000"/>
          <w:sz w:val="20"/>
          <w:szCs w:val="20"/>
        </w:rPr>
        <w:t xml:space="preserve">financial statements are free </w:t>
      </w:r>
      <w:r>
        <w:rPr>
          <w:color w:val="000000"/>
          <w:sz w:val="20"/>
          <w:szCs w:val="20"/>
        </w:rPr>
        <w:t>of material misstatement, whether due to error or fraud, and whether effective internal control over financial reporting was maintained in all material respects.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color w:val="000000"/>
          <w:sz w:val="20"/>
          <w:szCs w:val="20"/>
        </w:rPr>
      </w:pPr>
      <w:r>
        <w:rPr>
          <w:color w:val="000000"/>
          <w:sz w:val="20"/>
          <w:szCs w:val="20"/>
        </w:rPr>
        <w:t>Our audits of the consolidated financial statements included performing procedures to asse</w:t>
      </w:r>
      <w:r>
        <w:rPr>
          <w:color w:val="000000"/>
          <w:sz w:val="20"/>
          <w:szCs w:val="20"/>
        </w:rPr>
        <w:t>ss the risks of material misstatement of the consolidated</w:t>
      </w:r>
      <w:r>
        <w:rPr>
          <w:b/>
          <w:bCs/>
          <w:color w:val="FF0000"/>
          <w:sz w:val="20"/>
          <w:szCs w:val="20"/>
        </w:rPr>
        <w:t xml:space="preserve"> </w:t>
      </w:r>
      <w:r>
        <w:rPr>
          <w:color w:val="000000"/>
          <w:sz w:val="20"/>
          <w:szCs w:val="20"/>
        </w:rPr>
        <w:t>financial statements, whether due to error or fraud, and performing procedures that respond to those risks. Such procedures included examining, on a test basis, evidence regarding the amounts and di</w:t>
      </w:r>
      <w:r>
        <w:rPr>
          <w:color w:val="000000"/>
          <w:sz w:val="20"/>
          <w:szCs w:val="20"/>
        </w:rPr>
        <w:t>sclosures in the consolidated financial statements. Our audits also included evaluating the accounting principles used and significant estimates made by management, as well as evaluating the overall presentation of the consolidated financial statements. Ou</w:t>
      </w:r>
      <w:r>
        <w:rPr>
          <w:color w:val="000000"/>
          <w:sz w:val="20"/>
          <w:szCs w:val="20"/>
        </w:rPr>
        <w:t xml:space="preserve">r audit of internal control over financial reporting included obtaining an understanding of internal control over financial reporting, assessing the risk that a material weakness exists, and testing and evaluating the design and operating effectiveness of </w:t>
      </w:r>
      <w:r>
        <w:rPr>
          <w:color w:val="000000"/>
          <w:sz w:val="20"/>
          <w:szCs w:val="20"/>
        </w:rPr>
        <w:t>internal control based on the assessed risk. Our audits also included performing such other procedures as we considered necessary in the circumstances. We believe that our audits provide a reasonable basis for our opinions.</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b/>
          <w:bCs/>
          <w:i/>
          <w:iCs/>
          <w:sz w:val="20"/>
          <w:szCs w:val="20"/>
        </w:rPr>
      </w:pPr>
      <w:r>
        <w:rPr>
          <w:b/>
          <w:bCs/>
          <w:i/>
          <w:iCs/>
          <w:sz w:val="20"/>
          <w:szCs w:val="20"/>
        </w:rPr>
        <w:t xml:space="preserve">Definition and Limitations of </w:t>
      </w:r>
      <w:r>
        <w:rPr>
          <w:b/>
          <w:bCs/>
          <w:i/>
          <w:iCs/>
          <w:sz w:val="20"/>
          <w:szCs w:val="20"/>
        </w:rPr>
        <w:t>Internal Control over Financial Reporting</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A company’s internal control over financial reporting is a process designed to provide reasonable assurance regarding the reliability of financial reporting and the preparation of financial statements for externa</w:t>
      </w:r>
      <w:r>
        <w:rPr>
          <w:sz w:val="20"/>
          <w:szCs w:val="20"/>
        </w:rPr>
        <w:t>l purposes in accordance with generally accepted accounting principles. A company’s internal control over financial reporting includes those policies and procedures that (i) pertain to the maintenance of records that, in reasonable detail, accurately and f</w:t>
      </w:r>
      <w:r>
        <w:rPr>
          <w:sz w:val="20"/>
          <w:szCs w:val="20"/>
        </w:rPr>
        <w:t>airly reflect the transactions and dispositions of the assets of the company; (ii) provide reasonable assurance that transactions are recorded as necessary to permit preparation of financial statements in accordance with generally accepted accounting princ</w:t>
      </w:r>
      <w:r>
        <w:rPr>
          <w:sz w:val="20"/>
          <w:szCs w:val="20"/>
        </w:rPr>
        <w:t>iples, and that receipts and expenditures of the company are being made only in accordance with authorizations of management and directors of the company; and (iii) provide reasonable assurance regarding prevention or timely detection of unauthorized acqui</w:t>
      </w:r>
      <w:r>
        <w:rPr>
          <w:sz w:val="20"/>
          <w:szCs w:val="20"/>
        </w:rPr>
        <w:t>sition, use, or disposition of the company’s assets that could have a material effect on the financial statements.</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w:t>
      </w:r>
    </w:p>
    <w:p w:rsidR="00000000" w:rsidRDefault="00827839">
      <w:pPr>
        <w:rPr>
          <w:rFonts w:eastAsia="Times New Roman"/>
        </w:rPr>
      </w:pPr>
      <w:r>
        <w:rPr>
          <w:rFonts w:eastAsia="Times New Roman"/>
        </w:rPr>
        <w:pict>
          <v:rect id="_x0000_i1117"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40" w:beforeAutospacing="0" w:after="0" w:afterAutospacing="0"/>
        <w:rPr>
          <w:sz w:val="20"/>
          <w:szCs w:val="20"/>
        </w:rPr>
      </w:pPr>
      <w:r>
        <w:rPr>
          <w:sz w:val="20"/>
          <w:szCs w:val="20"/>
        </w:rPr>
        <w:t>Because of its inherent limitations, internal control over financial reporting may not prevent</w:t>
      </w:r>
      <w:r>
        <w:rPr>
          <w:sz w:val="20"/>
          <w:szCs w:val="20"/>
        </w:rPr>
        <w:t xml:space="preserve"> or detect misstatements. Also, projections of any evaluation of effectiveness to future periods are subject to the risk that controls may become inadequate because of changes in conditions, or that the degree of compliance with the policies or procedures </w:t>
      </w:r>
      <w:r>
        <w:rPr>
          <w:sz w:val="20"/>
          <w:szCs w:val="20"/>
        </w:rPr>
        <w:t>may deteriorate.</w:t>
      </w:r>
    </w:p>
    <w:p w:rsidR="00000000" w:rsidRDefault="00827839">
      <w:pPr>
        <w:pStyle w:val="a3"/>
        <w:spacing w:before="360" w:beforeAutospacing="0" w:after="0" w:afterAutospacing="0"/>
        <w:rPr>
          <w:b/>
          <w:bCs/>
          <w:i/>
          <w:iCs/>
          <w:sz w:val="20"/>
          <w:szCs w:val="20"/>
        </w:rPr>
      </w:pPr>
      <w:r>
        <w:rPr>
          <w:b/>
          <w:bCs/>
          <w:i/>
          <w:iCs/>
          <w:sz w:val="20"/>
          <w:szCs w:val="20"/>
        </w:rPr>
        <w:t>Critical Audit Matters</w:t>
      </w:r>
    </w:p>
    <w:p w:rsidR="00000000" w:rsidRDefault="00827839">
      <w:pPr>
        <w:pStyle w:val="a3"/>
        <w:spacing w:before="0" w:beforeAutospacing="0" w:after="0" w:afterAutospacing="0"/>
        <w:rPr>
          <w:sz w:val="12"/>
          <w:szCs w:val="12"/>
        </w:rPr>
      </w:pPr>
      <w:r>
        <w:rPr>
          <w:sz w:val="12"/>
          <w:szCs w:val="12"/>
        </w:rPr>
        <w:t> </w:t>
      </w:r>
    </w:p>
    <w:p w:rsidR="00000000" w:rsidRDefault="00827839">
      <w:pPr>
        <w:pStyle w:val="a3"/>
        <w:spacing w:before="0" w:beforeAutospacing="0" w:after="0" w:afterAutospacing="0"/>
        <w:rPr>
          <w:sz w:val="20"/>
          <w:szCs w:val="20"/>
        </w:rPr>
      </w:pPr>
      <w:r>
        <w:rPr>
          <w:sz w:val="20"/>
          <w:szCs w:val="20"/>
        </w:rPr>
        <w:t>The critical audit matter communicated below is a matter arising from the current period audit of the consolidated financial statements that was communicated or required to be communicated to the audit committee an</w:t>
      </w:r>
      <w:r>
        <w:rPr>
          <w:sz w:val="20"/>
          <w:szCs w:val="20"/>
        </w:rPr>
        <w:t>d that (i) relates to accounts or disclosures that are material to the consolidated financial statements and (ii) involved our especially challenging, subjective, or complex judgments. The communication of critical audit matters does not alter in any way o</w:t>
      </w:r>
      <w:r>
        <w:rPr>
          <w:sz w:val="20"/>
          <w:szCs w:val="20"/>
        </w:rPr>
        <w:t>ur opinion on the consolidated financial statements, taken as a whole, and we are not, by communicating the critical audit matter below, providing a separate opinion on the critical audit matter or on the accounts or disclosures to which it relates.</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160" w:beforeAutospacing="0" w:after="0" w:afterAutospacing="0"/>
        <w:rPr>
          <w:i/>
          <w:iCs/>
          <w:sz w:val="20"/>
          <w:szCs w:val="20"/>
        </w:rPr>
      </w:pPr>
      <w:r>
        <w:rPr>
          <w:i/>
          <w:iCs/>
          <w:sz w:val="20"/>
          <w:szCs w:val="20"/>
        </w:rPr>
        <w:t>Accrued Insurance</w:t>
      </w:r>
    </w:p>
    <w:p w:rsidR="00000000" w:rsidRDefault="00827839">
      <w:pPr>
        <w:pStyle w:val="a3"/>
        <w:spacing w:before="0" w:beforeAutospacing="0" w:after="0" w:afterAutospacing="0"/>
        <w:rPr>
          <w:sz w:val="12"/>
          <w:szCs w:val="12"/>
        </w:rPr>
      </w:pPr>
      <w:r>
        <w:rPr>
          <w:sz w:val="12"/>
          <w:szCs w:val="12"/>
        </w:rPr>
        <w:t> </w:t>
      </w:r>
    </w:p>
    <w:p w:rsidR="00000000" w:rsidRDefault="00827839">
      <w:pPr>
        <w:pStyle w:val="a3"/>
        <w:spacing w:before="0" w:beforeAutospacing="0" w:after="0" w:afterAutospacing="0"/>
        <w:rPr>
          <w:sz w:val="20"/>
          <w:szCs w:val="20"/>
        </w:rPr>
      </w:pPr>
      <w:r>
        <w:rPr>
          <w:sz w:val="20"/>
          <w:szCs w:val="20"/>
        </w:rPr>
        <w:t>As described in Notes 2 and 13 to the consolidated financial statements, the Partnership had accrued insurance liabilities of approximately $67 million as of September 28, 2019, which represents the estimated costs of known and anticipa</w:t>
      </w:r>
      <w:r>
        <w:rPr>
          <w:sz w:val="20"/>
          <w:szCs w:val="20"/>
        </w:rPr>
        <w:t>ted or unasserted claims for incidents related to general and product, workers’ compensation and automobile liabilities. For each claim, the Partnership records a provision up to the estimated amount of the probable claim utilizing actuarially determined l</w:t>
      </w:r>
      <w:r>
        <w:rPr>
          <w:sz w:val="20"/>
          <w:szCs w:val="20"/>
        </w:rPr>
        <w:t>oss development factors applied to actual historical claims data. The Partnership is self-insured for these liabilities up to predetermined amounts above which third party insurance applies. The Partnership maintains insurance coverage such that its net ex</w:t>
      </w:r>
      <w:r>
        <w:rPr>
          <w:sz w:val="20"/>
          <w:szCs w:val="20"/>
        </w:rPr>
        <w:t>posure for insured claims is limited to the insurance deductible, claims above which are paid by the Partnership’s insurance carriers. For the portion of the estimated liability that exceeds insurance deductibles, the Partnership records an asset within ot</w:t>
      </w:r>
      <w:r>
        <w:rPr>
          <w:sz w:val="20"/>
          <w:szCs w:val="20"/>
        </w:rPr>
        <w:t xml:space="preserve">her assets related to the amount of the liability expected to be covered by insurance, which amounted to $18 million as of September 28, 2019.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rPr>
          <w:sz w:val="20"/>
          <w:szCs w:val="20"/>
        </w:rPr>
      </w:pPr>
      <w:r>
        <w:rPr>
          <w:sz w:val="20"/>
          <w:szCs w:val="20"/>
        </w:rPr>
        <w:t>The principal considerations for our determination that performing procedures relating to accrued insurance is</w:t>
      </w:r>
      <w:r>
        <w:rPr>
          <w:sz w:val="20"/>
          <w:szCs w:val="20"/>
        </w:rPr>
        <w:t xml:space="preserve"> a critical audit matter are there was significant judgment by management in determining the estimate of net exposure for estimated costs of known and anticipated or unasserted claims for self-insured liabilities arising from incidents related to general a</w:t>
      </w:r>
      <w:r>
        <w:rPr>
          <w:sz w:val="20"/>
          <w:szCs w:val="20"/>
        </w:rPr>
        <w:t>nd product, workers’ compensation, and automobile liabilities. This in turn led to a high degree of auditor judgment, subjectivity, and effort in performing procedures and evaluating audit evidence relating to these determinations and management’s signific</w:t>
      </w:r>
      <w:r>
        <w:rPr>
          <w:sz w:val="20"/>
          <w:szCs w:val="20"/>
        </w:rPr>
        <w:t>ant assumption for loss development factors. In addition, the audit effort involved the use of professionals with specialized skill and knowledge to assist in performing these procedures and evaluating the audit evidence obtained.</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rPr>
          <w:sz w:val="20"/>
          <w:szCs w:val="20"/>
        </w:rPr>
      </w:pPr>
      <w:r>
        <w:rPr>
          <w:sz w:val="20"/>
          <w:szCs w:val="20"/>
        </w:rPr>
        <w:t>Addressing the matter i</w:t>
      </w:r>
      <w:r>
        <w:rPr>
          <w:sz w:val="20"/>
          <w:szCs w:val="20"/>
        </w:rPr>
        <w:t xml:space="preserve">nvolved performing procedures and evaluating audit evidence in connection with forming our overall opinion on the consolidated financial statements. These procedures included testing the effectiveness of controls relating to management’s accrued insurance </w:t>
      </w:r>
      <w:r>
        <w:rPr>
          <w:sz w:val="20"/>
          <w:szCs w:val="20"/>
        </w:rPr>
        <w:t>calculation, including controls over the determination of loss development factors. These procedures also included, among others, testing management’s process for determining the net exposure for estimated costs of known and anticipated or unasserted claim</w:t>
      </w:r>
      <w:r>
        <w:rPr>
          <w:sz w:val="20"/>
          <w:szCs w:val="20"/>
        </w:rPr>
        <w:t>s for self-insured liabilities arising from incidents related to general and product, workers’ compensation, and automobile liabilities and management’s significant assumption for loss development factors. This included testing the completeness and accurac</w:t>
      </w:r>
      <w:r>
        <w:rPr>
          <w:sz w:val="20"/>
          <w:szCs w:val="20"/>
        </w:rPr>
        <w:t>y of underlying data used by management. Evaluating management’s significant assumption related to loss development factors involved evaluating the historical claims data utilized by management in estimating the costs of known and anticipated or unasserted</w:t>
      </w:r>
      <w:r>
        <w:rPr>
          <w:sz w:val="20"/>
          <w:szCs w:val="20"/>
        </w:rPr>
        <w:t xml:space="preserve"> claims. Professionals with specialized skill and knowledge were used to assist in the evaluation of the appropriateness of the actuarial methods used by management and the reasonableness of management’s significant assumption for loss development factors </w:t>
      </w:r>
      <w:r>
        <w:rPr>
          <w:sz w:val="20"/>
          <w:szCs w:val="20"/>
        </w:rPr>
        <w:t>used to estimate costs of known and anticipated or unasserted claims.</w:t>
      </w:r>
    </w:p>
    <w:p w:rsidR="00000000" w:rsidRDefault="00827839">
      <w:pPr>
        <w:pStyle w:val="a3"/>
        <w:spacing w:before="0" w:beforeAutospacing="0" w:after="0" w:afterAutospacing="0"/>
        <w:rPr>
          <w:sz w:val="12"/>
          <w:szCs w:val="12"/>
        </w:rPr>
      </w:pPr>
      <w:r>
        <w:rPr>
          <w:sz w:val="12"/>
          <w:szCs w:val="12"/>
        </w:rPr>
        <w:t> </w:t>
      </w:r>
    </w:p>
    <w:p w:rsidR="00000000" w:rsidRDefault="00827839">
      <w:pPr>
        <w:pStyle w:val="a3"/>
        <w:spacing w:before="0" w:beforeAutospacing="0" w:after="0" w:afterAutospacing="0"/>
        <w:jc w:val="both"/>
        <w:rPr>
          <w:sz w:val="12"/>
          <w:szCs w:val="12"/>
        </w:rPr>
      </w:pPr>
      <w:r>
        <w:rPr>
          <w:sz w:val="12"/>
          <w:szCs w:val="12"/>
        </w:rPr>
        <w:t> </w:t>
      </w:r>
    </w:p>
    <w:p w:rsidR="00000000" w:rsidRDefault="00827839">
      <w:pPr>
        <w:pStyle w:val="a3"/>
        <w:spacing w:before="40" w:beforeAutospacing="0" w:after="0" w:afterAutospacing="0"/>
        <w:jc w:val="both"/>
        <w:rPr>
          <w:sz w:val="20"/>
          <w:szCs w:val="20"/>
        </w:rPr>
      </w:pPr>
      <w:r>
        <w:rPr>
          <w:sz w:val="20"/>
          <w:szCs w:val="20"/>
        </w:rPr>
        <w:t>/s/ PricewaterhouseCoopers LLP</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rPr>
          <w:sz w:val="20"/>
          <w:szCs w:val="20"/>
        </w:rPr>
      </w:pPr>
      <w:r>
        <w:rPr>
          <w:sz w:val="20"/>
          <w:szCs w:val="20"/>
        </w:rPr>
        <w:t>PricewaterhouseCoopers LLP</w:t>
      </w:r>
    </w:p>
    <w:p w:rsidR="00000000" w:rsidRDefault="00827839">
      <w:pPr>
        <w:pStyle w:val="a3"/>
        <w:spacing w:before="0" w:beforeAutospacing="0" w:after="0" w:afterAutospacing="0"/>
        <w:rPr>
          <w:sz w:val="20"/>
          <w:szCs w:val="20"/>
        </w:rPr>
      </w:pPr>
      <w:r>
        <w:rPr>
          <w:sz w:val="20"/>
          <w:szCs w:val="20"/>
        </w:rPr>
        <w:t>Florham Park, New Jersey</w:t>
      </w:r>
    </w:p>
    <w:p w:rsidR="00000000" w:rsidRDefault="00827839">
      <w:pPr>
        <w:pStyle w:val="a3"/>
        <w:spacing w:before="0" w:beforeAutospacing="0" w:after="0" w:afterAutospacing="0"/>
        <w:rPr>
          <w:sz w:val="20"/>
          <w:szCs w:val="20"/>
        </w:rPr>
      </w:pPr>
      <w:r>
        <w:rPr>
          <w:sz w:val="20"/>
          <w:szCs w:val="20"/>
        </w:rPr>
        <w:t>November 27, 2019</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rPr>
          <w:color w:val="000000"/>
          <w:sz w:val="20"/>
          <w:szCs w:val="20"/>
        </w:rPr>
      </w:pPr>
      <w:r>
        <w:rPr>
          <w:color w:val="000000"/>
          <w:sz w:val="20"/>
          <w:szCs w:val="20"/>
        </w:rPr>
        <w:t>We have served as the Partnership’s auditor since 1995.</w:t>
      </w:r>
      <w:r>
        <w:rPr>
          <w:color w:val="000000"/>
          <w:sz w:val="17"/>
          <w:szCs w:val="17"/>
          <w:vertAlign w:val="superscript"/>
        </w:rPr>
        <w:t xml:space="preserve"> </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F-3</w:t>
      </w:r>
    </w:p>
    <w:p w:rsidR="00000000" w:rsidRDefault="00827839">
      <w:pPr>
        <w:rPr>
          <w:rFonts w:eastAsia="Times New Roman"/>
        </w:rPr>
      </w:pPr>
      <w:r>
        <w:rPr>
          <w:rFonts w:eastAsia="Times New Roman"/>
        </w:rPr>
        <w:pict>
          <v:rect id="_x0000_i1118"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CONSOLIDATED BALANCE SHEETS</w:t>
      </w:r>
    </w:p>
    <w:p w:rsidR="00000000" w:rsidRDefault="00827839">
      <w:pPr>
        <w:pStyle w:val="a3"/>
        <w:spacing w:before="0" w:beforeAutospacing="0" w:after="0" w:afterAutospacing="0"/>
        <w:jc w:val="center"/>
        <w:rPr>
          <w:sz w:val="20"/>
          <w:szCs w:val="20"/>
        </w:rPr>
      </w:pPr>
      <w:r>
        <w:rPr>
          <w:sz w:val="20"/>
          <w:szCs w:val="20"/>
        </w:rPr>
        <w:t>(in thousands)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1678340342"/>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78340342"/>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Current assets: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Cash and cash equivalents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Accounts receivable, less allowance for doubtful accounts of $2,573 and</w:t>
            </w:r>
          </w:p>
          <w:p w:rsidR="00000000" w:rsidRDefault="00827839">
            <w:pPr>
              <w:pStyle w:val="a3"/>
              <w:spacing w:before="0" w:beforeAutospacing="0" w:after="0" w:afterAutospacing="0"/>
              <w:ind w:left="274"/>
              <w:rPr>
                <w:color w:val="000000"/>
                <w:sz w:val="20"/>
                <w:szCs w:val="20"/>
              </w:rPr>
            </w:pPr>
            <w:r>
              <w:rPr>
                <w:color w:val="000000"/>
                <w:sz w:val="20"/>
                <w:szCs w:val="20"/>
              </w:rPr>
              <w:t>   $3,629, respectively</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59,340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71,298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Inventories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45,036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59,112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current assets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16,623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22,194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current assets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123,440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157,768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Property, plant and equipment, net</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627,207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649,218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Goodwill</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1,093,470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intangible assets, net</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128,437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175,183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assets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21,179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25,560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LIABILITIES AND PARTNERS' CAPITAL</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Current liabilities: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Accounts payable</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34,085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38,264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Accrued employment and benefit costs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34,688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32,402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Accrued insurance</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15,765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Customer deposits and advances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97,854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95,483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Accrued interest</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14,018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13,223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current liabilities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19,720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23,896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current liabilities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216,130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219,038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Long-term borrowings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1,227,057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1,255,138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Accrued insurance</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51,514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54,797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liabilities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79,817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78,402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liabilities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1,574,518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1,607,375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Commitments and contingencies</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Partners' capital:</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Common Unitholders (61,735 and 61,405 units issued and outstanding at</w:t>
            </w:r>
          </w:p>
          <w:p w:rsidR="00000000" w:rsidRDefault="00827839">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September 28, 2019 and September 29, 2018, respectively)</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450,016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678340342"/>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partners' capital</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423,830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78340342"/>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liabilities and partners' capital</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The accompanying notes are an integral part of these consolidated financial statements.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F-4</w:t>
      </w:r>
    </w:p>
    <w:p w:rsidR="00000000" w:rsidRDefault="00827839">
      <w:pPr>
        <w:rPr>
          <w:rFonts w:eastAsia="Times New Roman"/>
        </w:rPr>
      </w:pPr>
      <w:r>
        <w:rPr>
          <w:rFonts w:eastAsia="Times New Roman"/>
        </w:rPr>
        <w:pict>
          <v:rect id="_x0000_i1119"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CONSOLIDATED STATEMENTS OF OPERATIONS</w:t>
      </w:r>
    </w:p>
    <w:p w:rsidR="00000000" w:rsidRDefault="00827839">
      <w:pPr>
        <w:pStyle w:val="a3"/>
        <w:spacing w:before="0" w:beforeAutospacing="0" w:after="0" w:afterAutospacing="0"/>
        <w:jc w:val="center"/>
        <w:rPr>
          <w:sz w:val="20"/>
          <w:szCs w:val="20"/>
        </w:rPr>
      </w:pPr>
      <w:r>
        <w:rPr>
          <w:sz w:val="20"/>
          <w:szCs w:val="20"/>
        </w:rPr>
        <w:t>(in thousands, except per unit amounts)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76"/>
        <w:gridCol w:w="101"/>
        <w:gridCol w:w="115"/>
        <w:gridCol w:w="884"/>
        <w:gridCol w:w="73"/>
        <w:gridCol w:w="102"/>
        <w:gridCol w:w="115"/>
        <w:gridCol w:w="885"/>
        <w:gridCol w:w="82"/>
        <w:gridCol w:w="94"/>
        <w:gridCol w:w="115"/>
        <w:gridCol w:w="890"/>
        <w:gridCol w:w="74"/>
      </w:tblGrid>
      <w:tr w:rsidR="00000000">
        <w:trPr>
          <w:divId w:val="1953396425"/>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53396425"/>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53396425"/>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Revenues</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1,083,446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1,153,323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1,011,078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92,084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91,520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78,126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45,206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54,308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55,103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46,969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45,262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43,579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1,267,705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1,344,413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1,187,886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Costs and expenses</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Cost of products sold</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521,988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592,630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476,661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Operating</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402,957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397,489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397,354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General and administrative</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71,034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66,246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57,338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Depreciation and amortization</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127,938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1,116,851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1,181,587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1,059,291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sale of business</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Operating income</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150,854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158,003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128,595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Loss on debt extinguishment</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expense, net</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75,263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net</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4,692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Income before provision for (benefit from) income taxes</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69,489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75,928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38,454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Provision for (benefit from) income taxes</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per Common Unit - basic</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61,992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61,557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61,224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 per Common Unit - diluted</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396425"/>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62,366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61,847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cente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61,542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The accompanying notes are an integral part of these consolidated financial statements.</w:t>
      </w:r>
    </w:p>
    <w:p w:rsidR="00000000" w:rsidRDefault="00827839">
      <w:pPr>
        <w:pStyle w:val="a3"/>
        <w:spacing w:before="0" w:beforeAutospacing="0" w:after="0" w:afterAutospacing="0"/>
        <w:rPr>
          <w:sz w:val="12"/>
          <w:szCs w:val="12"/>
        </w:rPr>
      </w:pPr>
      <w:r>
        <w:rPr>
          <w:sz w:val="12"/>
          <w:szCs w:val="12"/>
        </w:rPr>
        <w:t> </w:t>
      </w:r>
    </w:p>
    <w:p w:rsidR="00000000" w:rsidRDefault="00827839">
      <w:pPr>
        <w:pStyle w:val="a3"/>
        <w:spacing w:before="0" w:beforeAutospacing="0" w:after="0" w:afterAutospacing="0"/>
        <w:rPr>
          <w:sz w:val="12"/>
          <w:szCs w:val="12"/>
        </w:rPr>
      </w:pPr>
      <w:r>
        <w:rPr>
          <w:sz w:val="12"/>
          <w:szCs w:val="12"/>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F-5</w:t>
      </w:r>
    </w:p>
    <w:p w:rsidR="00000000" w:rsidRDefault="00827839">
      <w:pPr>
        <w:rPr>
          <w:rFonts w:eastAsia="Times New Roman"/>
        </w:rPr>
      </w:pPr>
      <w:r>
        <w:rPr>
          <w:rFonts w:eastAsia="Times New Roman"/>
        </w:rPr>
        <w:pict>
          <v:rect id="_x0000_i1120"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CONSOLIDATED STATEMENTS OF COMPREHENSIVE INCOME</w:t>
      </w:r>
    </w:p>
    <w:p w:rsidR="00000000" w:rsidRDefault="00827839">
      <w:pPr>
        <w:pStyle w:val="a3"/>
        <w:spacing w:before="0" w:beforeAutospacing="0" w:after="0" w:afterAutospacing="0"/>
        <w:jc w:val="center"/>
        <w:rPr>
          <w:sz w:val="20"/>
          <w:szCs w:val="20"/>
        </w:rPr>
      </w:pPr>
      <w:r>
        <w:rPr>
          <w:sz w:val="20"/>
          <w:szCs w:val="20"/>
        </w:rPr>
        <w:t>(in thousands)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75"/>
        <w:gridCol w:w="100"/>
        <w:gridCol w:w="116"/>
        <w:gridCol w:w="883"/>
        <w:gridCol w:w="82"/>
        <w:gridCol w:w="91"/>
        <w:gridCol w:w="116"/>
        <w:gridCol w:w="883"/>
        <w:gridCol w:w="72"/>
        <w:gridCol w:w="101"/>
        <w:gridCol w:w="116"/>
        <w:gridCol w:w="889"/>
        <w:gridCol w:w="82"/>
      </w:tblGrid>
      <w:tr w:rsidR="00000000">
        <w:trPr>
          <w:divId w:val="123280012"/>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3280012"/>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3280012"/>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3280012"/>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280012"/>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comprehensive (loss) income:</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280012"/>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Net unrealized (loss) on cash flow hedges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23280012"/>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Reclassification of realized losses on cash flow hedges into earnings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280012"/>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Amortization of net actuarial losses and prior service credits into</w:t>
            </w:r>
          </w:p>
          <w:p w:rsidR="00000000" w:rsidRDefault="00827839">
            <w:pPr>
              <w:pStyle w:val="a3"/>
              <w:spacing w:before="0" w:beforeAutospacing="0" w:after="0" w:afterAutospacing="0"/>
              <w:ind w:left="274"/>
              <w:rPr>
                <w:color w:val="000000"/>
                <w:sz w:val="20"/>
                <w:szCs w:val="20"/>
              </w:rPr>
            </w:pPr>
            <w:r>
              <w:rPr>
                <w:color w:val="000000"/>
                <w:sz w:val="20"/>
                <w:szCs w:val="20"/>
              </w:rPr>
              <w:t>   earnings and net change in funded status of benefit plans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10,715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280012"/>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Recognition in earnings of net actuarial loss for pension settlement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280012"/>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comprehensive (loss) income</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4,142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17,020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280012"/>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Total comprehensive income</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67,116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80,676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55,015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The accompanying notes are an integral part of these consolidated financial statements.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F-6</w:t>
      </w:r>
    </w:p>
    <w:p w:rsidR="00000000" w:rsidRDefault="00827839">
      <w:pPr>
        <w:rPr>
          <w:rFonts w:eastAsia="Times New Roman"/>
        </w:rPr>
      </w:pPr>
      <w:r>
        <w:rPr>
          <w:rFonts w:eastAsia="Times New Roman"/>
        </w:rPr>
        <w:pict>
          <v:rect id="_x0000_i1121"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CONSOLIDATED STATEMENTS OF CASH FLOWS</w:t>
      </w:r>
    </w:p>
    <w:p w:rsidR="00000000" w:rsidRDefault="00827839">
      <w:pPr>
        <w:pStyle w:val="a3"/>
        <w:spacing w:before="0" w:beforeAutospacing="0" w:after="0" w:afterAutospacing="0"/>
        <w:jc w:val="center"/>
        <w:rPr>
          <w:sz w:val="20"/>
          <w:szCs w:val="20"/>
        </w:rPr>
      </w:pPr>
      <w:r>
        <w:rPr>
          <w:sz w:val="20"/>
          <w:szCs w:val="20"/>
        </w:rPr>
        <w:t>(in thousands)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74"/>
        <w:gridCol w:w="100"/>
        <w:gridCol w:w="115"/>
        <w:gridCol w:w="883"/>
        <w:gridCol w:w="82"/>
        <w:gridCol w:w="92"/>
        <w:gridCol w:w="115"/>
        <w:gridCol w:w="884"/>
        <w:gridCol w:w="82"/>
        <w:gridCol w:w="93"/>
        <w:gridCol w:w="115"/>
        <w:gridCol w:w="889"/>
        <w:gridCol w:w="82"/>
      </w:tblGrid>
      <w:tr w:rsidR="00000000">
        <w:trPr>
          <w:divId w:val="1974604323"/>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74604323"/>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74604323"/>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flows from operating activities: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Net income</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operations: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Depreciation and amortization</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127,938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Compensation costs recognized under Restricted Unit Plans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10,521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8,198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Loss on sale of business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Loss on debt extinguishment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Pension settlement charge</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Other, net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Changes in assets and liabilities: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Accounts receivable</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11,821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(11,881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Inventories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14,353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5,729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Other current and noncurrent assets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8,209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(9,613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Accounts payable</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Accrued employment and benefit costs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2,284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Accrued insurance</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8,905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Customer deposits and advances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2,371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(1,540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Contributions to defined benefit pension plan</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Other current and noncurrent liabilities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9,268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4,125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821"/>
              <w:rPr>
                <w:color w:val="000000"/>
                <w:sz w:val="20"/>
                <w:szCs w:val="20"/>
              </w:rPr>
            </w:pPr>
            <w:r>
              <w:rPr>
                <w:color w:val="000000"/>
                <w:sz w:val="20"/>
                <w:szCs w:val="20"/>
              </w:rPr>
              <w:t>Net cash provided by operating activities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226,781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210,412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163,821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flows from investing activities: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Capital expenditures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(34,978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(32,902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(28,168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Acquisition of businesses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(19,300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(14,873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Proceeds from sale of property, plant and equipment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5,763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5,885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Proceeds from sale of business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(48,515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(39,090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(22,988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flows from financing activities: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Proceeds from long-term borrowings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Repayments of long-term borrowings (includes premium and fees)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(360,931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Proceeds from borrowings under revolving credit facility</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370,700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350,100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374,845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Repayments of borrowings under revolving credit facility</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(400,800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(369,145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(312,200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Issuance costs associated with long-term borrowings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Partnership distributions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(147,882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(147,185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(216,576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net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821"/>
              <w:rPr>
                <w:color w:val="000000"/>
                <w:sz w:val="20"/>
                <w:szCs w:val="20"/>
              </w:rPr>
            </w:pPr>
            <w:r>
              <w:rPr>
                <w:color w:val="000000"/>
                <w:sz w:val="20"/>
                <w:szCs w:val="20"/>
              </w:rPr>
              <w:t>Net cash (used in) financing activities</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(180,989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(168,947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(175,385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(decrease) increase in cash and cash equivalents</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(34,552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and cash equivalents at beginning of period</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37,341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Cash and cash equivalents at end of period</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Supplemental disclosure of cash flow information:</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7460432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Cash paid for interest</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73,221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74,121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The accompanying notes are an integral part of these consolidated financial statements.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F-7</w:t>
      </w:r>
    </w:p>
    <w:p w:rsidR="00000000" w:rsidRDefault="00827839">
      <w:pPr>
        <w:rPr>
          <w:rFonts w:eastAsia="Times New Roman"/>
        </w:rPr>
      </w:pPr>
      <w:r>
        <w:rPr>
          <w:rFonts w:eastAsia="Times New Roman"/>
        </w:rPr>
        <w:pict>
          <v:rect id="_x0000_i1122"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CONSOLIDATED STATEMENTS OF PARTNERS’ CAPITAL</w:t>
      </w:r>
    </w:p>
    <w:p w:rsidR="00000000" w:rsidRDefault="00827839">
      <w:pPr>
        <w:pStyle w:val="a3"/>
        <w:spacing w:before="0" w:beforeAutospacing="0" w:after="0" w:afterAutospacing="0"/>
        <w:jc w:val="center"/>
        <w:rPr>
          <w:sz w:val="20"/>
          <w:szCs w:val="20"/>
        </w:rPr>
      </w:pPr>
      <w:r>
        <w:rPr>
          <w:sz w:val="20"/>
          <w:szCs w:val="20"/>
        </w:rPr>
        <w:t>(in thousands)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02"/>
        <w:gridCol w:w="65"/>
        <w:gridCol w:w="103"/>
        <w:gridCol w:w="944"/>
        <w:gridCol w:w="65"/>
        <w:gridCol w:w="65"/>
        <w:gridCol w:w="115"/>
        <w:gridCol w:w="732"/>
        <w:gridCol w:w="82"/>
        <w:gridCol w:w="65"/>
        <w:gridCol w:w="117"/>
        <w:gridCol w:w="975"/>
        <w:gridCol w:w="82"/>
        <w:gridCol w:w="65"/>
        <w:gridCol w:w="115"/>
        <w:gridCol w:w="732"/>
        <w:gridCol w:w="82"/>
      </w:tblGrid>
      <w:tr w:rsidR="00000000">
        <w:trPr>
          <w:divId w:val="2127582638"/>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16"/>
                <w:szCs w:val="16"/>
              </w:rPr>
            </w:pPr>
            <w:r>
              <w:rPr>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127582638"/>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127582638"/>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127582638"/>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Common</w:t>
            </w:r>
            <w:r>
              <w:rPr>
                <w:rFonts w:ascii="Calibri" w:hAnsi="Calibri" w:cs="Calibri"/>
                <w:b/>
                <w:bCs/>
                <w:color w:val="000000"/>
                <w:sz w:val="16"/>
                <w:szCs w:val="16"/>
              </w:rPr>
              <w:t> </w:t>
            </w:r>
            <w:r>
              <w:rPr>
                <w:b/>
                <w:bCs/>
                <w:color w:val="000000"/>
                <w:sz w:val="16"/>
                <w:szCs w:val="16"/>
              </w:rPr>
              <w:t>Units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at September 24, 2016</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60,789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754,063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(45,832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708,231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unrealized (losses) on cash flow hedges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Reclassification of realized losses on cash flow hedges into</w:t>
            </w:r>
          </w:p>
          <w:p w:rsidR="00000000" w:rsidRDefault="00827839">
            <w:pPr>
              <w:pStyle w:val="a3"/>
              <w:spacing w:before="0" w:beforeAutospacing="0" w:after="0" w:afterAutospacing="0"/>
              <w:rPr>
                <w:color w:val="000000"/>
                <w:sz w:val="20"/>
                <w:szCs w:val="20"/>
              </w:rPr>
            </w:pPr>
            <w:r>
              <w:rPr>
                <w:color w:val="000000"/>
                <w:sz w:val="20"/>
                <w:szCs w:val="20"/>
              </w:rPr>
              <w:t>   earnings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Amortization of net actuarial losses and prior service credits into</w:t>
            </w:r>
          </w:p>
          <w:p w:rsidR="00000000" w:rsidRDefault="00827839">
            <w:pPr>
              <w:pStyle w:val="a3"/>
              <w:spacing w:before="0" w:beforeAutospacing="0" w:after="0" w:afterAutospacing="0"/>
              <w:rPr>
                <w:color w:val="000000"/>
                <w:sz w:val="20"/>
                <w:szCs w:val="20"/>
              </w:rPr>
            </w:pPr>
            <w:r>
              <w:rPr>
                <w:color w:val="000000"/>
                <w:sz w:val="20"/>
                <w:szCs w:val="20"/>
              </w:rPr>
              <w:t>   earnings and net change in funded status of benefit plans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10,715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10,715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Recognition in earnings of net actuarial loss for pension settlement</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Partnership distributions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(216,576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(216,576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Common Units issued under Restricted Unit Plans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at September 30, 2017</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61,105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581,794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28,812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552,982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Amortization of net actuarial losses and prior service credits into</w:t>
            </w:r>
          </w:p>
          <w:p w:rsidR="00000000" w:rsidRDefault="00827839">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earnings and net change in funded status of benefit plans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Partnership distributions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(147,185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(147,185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Common Units issued under Restricted Unit Plans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8,198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8,198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at September 29, 2018</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61,405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Net income</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Amortization of net actuarial losses and prior service credits into</w:t>
            </w:r>
          </w:p>
          <w:p w:rsidR="00000000" w:rsidRDefault="00827839">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earnings and net change in funded status of benefit plans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Partnership distributions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(147,882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(147,882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Common Units issued under Restricted Unit Plans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Common Units issued for acquisition of business</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10,521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10,521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127582638"/>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at September 28, 2019</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450,016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423,830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jc w:val="both"/>
        <w:rPr>
          <w:sz w:val="20"/>
          <w:szCs w:val="20"/>
        </w:rPr>
      </w:pPr>
      <w:r>
        <w:rPr>
          <w:sz w:val="20"/>
          <w:szCs w:val="20"/>
        </w:rPr>
        <w:t>The accompanying notes are an integral part of these consolidated financial statements.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F-8</w:t>
      </w:r>
    </w:p>
    <w:p w:rsidR="00000000" w:rsidRDefault="00827839">
      <w:pPr>
        <w:rPr>
          <w:rFonts w:eastAsia="Times New Roman"/>
        </w:rPr>
      </w:pPr>
      <w:r>
        <w:rPr>
          <w:rFonts w:eastAsia="Times New Roman"/>
        </w:rPr>
        <w:pict>
          <v:rect id="_x0000_i1123"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NOTES TO CONSOLIDATED FINANCIAL STATEMENTS</w:t>
      </w:r>
    </w:p>
    <w:p w:rsidR="00000000" w:rsidRDefault="00827839">
      <w:pPr>
        <w:pStyle w:val="a3"/>
        <w:spacing w:before="0" w:beforeAutospacing="0" w:after="0" w:afterAutospacing="0"/>
        <w:jc w:val="center"/>
        <w:rPr>
          <w:sz w:val="20"/>
          <w:szCs w:val="20"/>
        </w:rPr>
      </w:pPr>
      <w:r>
        <w:rPr>
          <w:sz w:val="20"/>
          <w:szCs w:val="20"/>
        </w:rPr>
        <w:t>(dollars in thousands, except unit and per unit amounts)</w:t>
      </w:r>
    </w:p>
    <w:p w:rsidR="00000000" w:rsidRDefault="00827839">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05848166"/>
        </w:trPr>
        <w:tc>
          <w:tcPr>
            <w:tcW w:w="227" w:type="pct"/>
            <w:noWrap/>
            <w:hideMark/>
          </w:tcPr>
          <w:p w:rsidR="00000000" w:rsidRDefault="00827839">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827839">
            <w:pPr>
              <w:pStyle w:val="a3"/>
              <w:spacing w:before="0" w:beforeAutospacing="0" w:after="0" w:afterAutospacing="0"/>
              <w:jc w:val="both"/>
              <w:rPr>
                <w:b/>
                <w:bCs/>
                <w:sz w:val="20"/>
                <w:szCs w:val="20"/>
              </w:rPr>
            </w:pPr>
            <w:r>
              <w:rPr>
                <w:b/>
                <w:bCs/>
                <w:sz w:val="20"/>
                <w:szCs w:val="20"/>
              </w:rPr>
              <w:t>Partnership Organization and Formation</w:t>
            </w:r>
          </w:p>
        </w:tc>
      </w:tr>
    </w:tbl>
    <w:p w:rsidR="00000000" w:rsidRDefault="00827839">
      <w:pPr>
        <w:pStyle w:val="a3"/>
        <w:spacing w:before="120" w:beforeAutospacing="0" w:after="0" w:afterAutospacing="0"/>
        <w:jc w:val="both"/>
        <w:rPr>
          <w:sz w:val="20"/>
          <w:szCs w:val="20"/>
        </w:rPr>
      </w:pPr>
      <w:r>
        <w:rPr>
          <w:sz w:val="20"/>
          <w:szCs w:val="20"/>
        </w:rPr>
        <w:t>Suburban Propane Partners, L.P. (the “Partnership”) is a publicly traded Delaware limited partnership principal</w:t>
      </w:r>
      <w:r>
        <w:rPr>
          <w:sz w:val="20"/>
          <w:szCs w:val="20"/>
        </w:rPr>
        <w:t>ly engaged, through its operating partnership and subsidiaries, in the retail marketing and distribution of propane, fuel oil and refined fuels, as well as the marketing of natural gas and electricity in deregulated markets.  In addition, to complement its</w:t>
      </w:r>
      <w:r>
        <w:rPr>
          <w:sz w:val="20"/>
          <w:szCs w:val="20"/>
        </w:rPr>
        <w:t xml:space="preserve"> core marketing and distribution businesses, the Partnership services a wide variety of home comfort equipment, particularly for heating and ventilation.  The publicly traded limited partner interests in the Partnership are evidenced by common units traded</w:t>
      </w:r>
      <w:r>
        <w:rPr>
          <w:sz w:val="20"/>
          <w:szCs w:val="20"/>
        </w:rPr>
        <w:t xml:space="preserve"> on the New York Stock Exchange (“Common Units”), with 61,735,197 Common Units outstanding at September 28, 2019.  The holders of Common Units are entitled to participate in distributions and exercise the rights and privileges available to limited partners</w:t>
      </w:r>
      <w:r>
        <w:rPr>
          <w:sz w:val="20"/>
          <w:szCs w:val="20"/>
        </w:rPr>
        <w:t xml:space="preserve"> under the Third Amended and Restated Agreement of Limited Partnership (the “Partnership Agreement”), as amended.  Rights and privileges under the Partnership Agreement include, among other things, the election of all members of the Board of Supervisors an</w:t>
      </w:r>
      <w:r>
        <w:rPr>
          <w:sz w:val="20"/>
          <w:szCs w:val="20"/>
        </w:rPr>
        <w:t>d voting on the removal of the general partner.</w:t>
      </w:r>
    </w:p>
    <w:p w:rsidR="00000000" w:rsidRDefault="00827839">
      <w:pPr>
        <w:pStyle w:val="a3"/>
        <w:spacing w:before="240" w:beforeAutospacing="0" w:after="0" w:afterAutospacing="0"/>
        <w:jc w:val="both"/>
        <w:rPr>
          <w:sz w:val="20"/>
          <w:szCs w:val="20"/>
        </w:rPr>
      </w:pPr>
      <w:r>
        <w:rPr>
          <w:sz w:val="20"/>
          <w:szCs w:val="20"/>
        </w:rPr>
        <w:t xml:space="preserve">Suburban Propane, L.P. (the “Operating Partnership”), a Delaware limited partnership, is the Partnership’s operating subsidiary formed to operate the propane business and assets.  In addition, Suburban Sales </w:t>
      </w:r>
      <w:r>
        <w:rPr>
          <w:sz w:val="20"/>
          <w:szCs w:val="20"/>
        </w:rPr>
        <w:t>&amp; Service, Inc. (the “Service Company”), a subsidiary of the Operating Partnership, was formed to operate the service work and appliance and parts businesses of the Partnership.  The Operating Partnership, together with its direct and indirect subsidiaries</w:t>
      </w:r>
      <w:r>
        <w:rPr>
          <w:sz w:val="20"/>
          <w:szCs w:val="20"/>
        </w:rPr>
        <w:t>, accounts for substantially all of the Partnership’s assets, revenues and earnings.  The Partnership, the Operating Partnership and the Service Company commenced operations in March 1996 in connection with the Partnership’s initial public offering.</w:t>
      </w:r>
    </w:p>
    <w:p w:rsidR="00000000" w:rsidRDefault="00827839">
      <w:pPr>
        <w:pStyle w:val="a3"/>
        <w:spacing w:before="240" w:beforeAutospacing="0" w:after="0" w:afterAutospacing="0"/>
        <w:jc w:val="both"/>
        <w:rPr>
          <w:sz w:val="20"/>
          <w:szCs w:val="20"/>
        </w:rPr>
      </w:pPr>
      <w:r>
        <w:rPr>
          <w:sz w:val="20"/>
          <w:szCs w:val="20"/>
        </w:rPr>
        <w:t>The ge</w:t>
      </w:r>
      <w:r>
        <w:rPr>
          <w:sz w:val="20"/>
          <w:szCs w:val="20"/>
        </w:rPr>
        <w:t>neral partner of both the Partnership and the Operating Partnership is Suburban Energy Services Group LLC (the “General Partner”), a Delaware limited liability company, the sole member of which is the Partnership’s Chief Executive Officer.  Other than as a</w:t>
      </w:r>
      <w:r>
        <w:rPr>
          <w:sz w:val="20"/>
          <w:szCs w:val="20"/>
        </w:rPr>
        <w:t xml:space="preserve"> holder of 784 Common Units that will remain in the General Partner, the General Partner does not have any economic interest in the Partnership or the Operating Partnership.</w:t>
      </w:r>
    </w:p>
    <w:p w:rsidR="00000000" w:rsidRDefault="00827839">
      <w:pPr>
        <w:pStyle w:val="a3"/>
        <w:spacing w:before="240" w:beforeAutospacing="0" w:after="0" w:afterAutospacing="0"/>
        <w:jc w:val="both"/>
        <w:rPr>
          <w:sz w:val="20"/>
          <w:szCs w:val="20"/>
        </w:rPr>
      </w:pPr>
      <w:r>
        <w:rPr>
          <w:sz w:val="20"/>
          <w:szCs w:val="20"/>
        </w:rPr>
        <w:t>The Partnership’s fuel oil and refined fuels, natural gas and electricity and serv</w:t>
      </w:r>
      <w:r>
        <w:rPr>
          <w:sz w:val="20"/>
          <w:szCs w:val="20"/>
        </w:rPr>
        <w:t>ices businesses are structured as either limited liability companies that are treated as corporations or corporate entities (collectively referred to as the “Corporate Entities”) and, as such, are subject to corporate level U.S. income tax.</w:t>
      </w:r>
    </w:p>
    <w:p w:rsidR="00000000" w:rsidRDefault="00827839">
      <w:pPr>
        <w:pStyle w:val="a3"/>
        <w:spacing w:before="240" w:beforeAutospacing="0" w:after="0" w:afterAutospacing="0"/>
        <w:jc w:val="both"/>
        <w:rPr>
          <w:sz w:val="20"/>
          <w:szCs w:val="20"/>
        </w:rPr>
      </w:pPr>
      <w:r>
        <w:rPr>
          <w:sz w:val="20"/>
          <w:szCs w:val="20"/>
        </w:rPr>
        <w:t>Suburban Energy</w:t>
      </w:r>
      <w:r>
        <w:rPr>
          <w:sz w:val="20"/>
          <w:szCs w:val="20"/>
        </w:rPr>
        <w:t xml:space="preserve"> Finance Corp., a direct 100%-owned subsidiary of the Partnership, was formed on November 26, 2003 to serve as co-issuer, jointly and severally with the Partnership, of the Partnership’s senior notes.</w:t>
      </w:r>
    </w:p>
    <w:p w:rsidR="00000000" w:rsidRDefault="00827839">
      <w:pPr>
        <w:pStyle w:val="a3"/>
        <w:spacing w:before="240" w:beforeAutospacing="0" w:after="0" w:afterAutospacing="0"/>
        <w:jc w:val="both"/>
        <w:rPr>
          <w:sz w:val="20"/>
          <w:szCs w:val="20"/>
        </w:rPr>
      </w:pPr>
      <w:r>
        <w:rPr>
          <w:sz w:val="20"/>
          <w:szCs w:val="20"/>
        </w:rPr>
        <w:t>The Partnership serves approximately 1.0 million reside</w:t>
      </w:r>
      <w:r>
        <w:rPr>
          <w:sz w:val="20"/>
          <w:szCs w:val="20"/>
        </w:rPr>
        <w:t>ntial, commercial, industrial and agricultural customers through approximately 700 locations in 41 states.  The Partnership’s operations are principally concentrated in the east and west coast regions of the United States, as well as portions of the Midwes</w:t>
      </w:r>
      <w:r>
        <w:rPr>
          <w:sz w:val="20"/>
          <w:szCs w:val="20"/>
        </w:rPr>
        <w:t>t region of the United States and Alaska.  No single customer accounted for 10% or more of the Partnership’s revenues during fiscal 2019, 2018 or 2017.</w:t>
      </w:r>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34429724"/>
        </w:trPr>
        <w:tc>
          <w:tcPr>
            <w:tcW w:w="227" w:type="pct"/>
            <w:noWrap/>
            <w:hideMark/>
          </w:tcPr>
          <w:p w:rsidR="00000000" w:rsidRDefault="00827839">
            <w:pPr>
              <w:pStyle w:val="a3"/>
              <w:spacing w:before="180" w:beforeAutospacing="0" w:after="0" w:afterAutospacing="0"/>
              <w:jc w:val="both"/>
              <w:rPr>
                <w:b/>
                <w:bCs/>
                <w:sz w:val="20"/>
                <w:szCs w:val="20"/>
              </w:rPr>
            </w:pPr>
            <w:r>
              <w:rPr>
                <w:b/>
                <w:bCs/>
                <w:sz w:val="20"/>
                <w:szCs w:val="20"/>
              </w:rPr>
              <w:t>2.</w:t>
            </w:r>
          </w:p>
        </w:tc>
        <w:tc>
          <w:tcPr>
            <w:tcW w:w="0" w:type="auto"/>
            <w:hideMark/>
          </w:tcPr>
          <w:p w:rsidR="00000000" w:rsidRDefault="00827839">
            <w:pPr>
              <w:pStyle w:val="a3"/>
              <w:spacing w:before="180" w:beforeAutospacing="0" w:after="0" w:afterAutospacing="0"/>
              <w:jc w:val="both"/>
              <w:rPr>
                <w:b/>
                <w:bCs/>
                <w:sz w:val="20"/>
                <w:szCs w:val="20"/>
              </w:rPr>
            </w:pPr>
            <w:r>
              <w:rPr>
                <w:b/>
                <w:bCs/>
                <w:sz w:val="20"/>
                <w:szCs w:val="20"/>
              </w:rPr>
              <w:t>Summary of Significant Accounting Policies</w:t>
            </w:r>
          </w:p>
        </w:tc>
      </w:tr>
    </w:tbl>
    <w:p w:rsidR="00000000" w:rsidRDefault="00827839">
      <w:pPr>
        <w:pStyle w:val="a3"/>
        <w:spacing w:before="120" w:beforeAutospacing="0" w:after="0" w:afterAutospacing="0"/>
        <w:jc w:val="both"/>
        <w:rPr>
          <w:b/>
          <w:bCs/>
          <w:sz w:val="20"/>
          <w:szCs w:val="20"/>
        </w:rPr>
      </w:pPr>
      <w:r>
        <w:rPr>
          <w:b/>
          <w:bCs/>
          <w:sz w:val="20"/>
          <w:szCs w:val="20"/>
        </w:rPr>
        <w:t>Principles of Consolidation.</w:t>
      </w:r>
      <w:r>
        <w:rPr>
          <w:sz w:val="20"/>
          <w:szCs w:val="20"/>
        </w:rPr>
        <w:t>  The consolidated financial statements include the accounts of the Partnership, the Operating Partnership and all of its direct and indirect subsidiaries.  All significant intercompany transactions and account balances have bee</w:t>
      </w:r>
      <w:r>
        <w:rPr>
          <w:sz w:val="20"/>
          <w:szCs w:val="20"/>
        </w:rPr>
        <w:t>n eliminated.  The Partnership consolidates the results of operations, financial condition and cash flows of the Operating Partnership as a result of the Partnership’s 100% limited partner interest in the Operating Partnership.</w:t>
      </w:r>
    </w:p>
    <w:p w:rsidR="00000000" w:rsidRDefault="00827839">
      <w:pPr>
        <w:pStyle w:val="a3"/>
        <w:spacing w:before="240" w:beforeAutospacing="0" w:after="0" w:afterAutospacing="0"/>
        <w:jc w:val="both"/>
        <w:rPr>
          <w:b/>
          <w:bCs/>
          <w:sz w:val="20"/>
          <w:szCs w:val="20"/>
        </w:rPr>
      </w:pPr>
      <w:r>
        <w:rPr>
          <w:b/>
          <w:bCs/>
          <w:sz w:val="20"/>
          <w:szCs w:val="20"/>
        </w:rPr>
        <w:t>Fiscal Period.</w:t>
      </w:r>
      <w:r>
        <w:rPr>
          <w:sz w:val="20"/>
          <w:szCs w:val="20"/>
        </w:rPr>
        <w:t>  The Partners</w:t>
      </w:r>
      <w:r>
        <w:rPr>
          <w:sz w:val="20"/>
          <w:szCs w:val="20"/>
        </w:rPr>
        <w:t xml:space="preserve">hip uses a 52/53 week fiscal year which ends on the last Saturday in September.  The Partnership’s fiscal quarters are generally 13 weeks in duration.  When the Partnership’s fiscal year is 53 weeks long, as was the case for fiscal 2017, the corresponding </w:t>
      </w:r>
      <w:r>
        <w:rPr>
          <w:sz w:val="20"/>
          <w:szCs w:val="20"/>
        </w:rPr>
        <w:t>fourth quarter is 14 weeks in duration.  Fiscal 2019 and 2018 included 52 weeks of operations.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F-9</w:t>
      </w:r>
    </w:p>
    <w:p w:rsidR="00000000" w:rsidRDefault="00827839">
      <w:pPr>
        <w:rPr>
          <w:rFonts w:eastAsia="Times New Roman"/>
        </w:rPr>
      </w:pPr>
      <w:r>
        <w:rPr>
          <w:rFonts w:eastAsia="Times New Roman"/>
        </w:rPr>
        <w:pict>
          <v:rect id="_x0000_i1124"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b/>
          <w:bCs/>
          <w:sz w:val="20"/>
          <w:szCs w:val="20"/>
        </w:rPr>
        <w:t>Revenue Recognition.</w:t>
      </w:r>
      <w:r>
        <w:rPr>
          <w:sz w:val="20"/>
          <w:szCs w:val="20"/>
        </w:rPr>
        <w:t xml:space="preserve">  On </w:t>
      </w:r>
      <w:r>
        <w:rPr>
          <w:color w:val="000000"/>
          <w:sz w:val="20"/>
          <w:szCs w:val="20"/>
        </w:rPr>
        <w:t>September 30, 2018, the first day of fiscal 2019, the Partnership adopted the new accountin</w:t>
      </w:r>
      <w:r>
        <w:rPr>
          <w:color w:val="000000"/>
          <w:sz w:val="20"/>
          <w:szCs w:val="20"/>
        </w:rPr>
        <w:t xml:space="preserve">g guidance regarding revenue recognition under the </w:t>
      </w:r>
      <w:r>
        <w:rPr>
          <w:sz w:val="20"/>
          <w:szCs w:val="20"/>
        </w:rPr>
        <w:t xml:space="preserve">Financial Accounting Standards Board (“FASB”) Accounting Standards Update (“ASU”) </w:t>
      </w:r>
      <w:r>
        <w:rPr>
          <w:color w:val="000000"/>
          <w:sz w:val="20"/>
          <w:szCs w:val="20"/>
        </w:rPr>
        <w:t>2014-09 “Revenue from Contracts with Customers” (“ASU 2014-09”) and all related amendments using the full retrospective met</w:t>
      </w:r>
      <w:r>
        <w:rPr>
          <w:color w:val="000000"/>
          <w:sz w:val="20"/>
          <w:szCs w:val="20"/>
        </w:rPr>
        <w:t>hod.  ASU 2014-09 provides a five-step model to be applied to all contracts with customers.  The five steps are to identify the contract(s) with the customer, identify the performance obligations in the contract, determine the transaction price, allocate t</w:t>
      </w:r>
      <w:r>
        <w:rPr>
          <w:color w:val="000000"/>
          <w:sz w:val="20"/>
          <w:szCs w:val="20"/>
        </w:rPr>
        <w:t>he transaction price to the performance obligations in the contract and recognize revenue when each performance obligation is satisfied.  The adoption of this standard had no impact on the Partnership’s consolidated statements of financial position, operat</w:t>
      </w:r>
      <w:r>
        <w:rPr>
          <w:color w:val="000000"/>
          <w:sz w:val="20"/>
          <w:szCs w:val="20"/>
        </w:rPr>
        <w:t>ions or cash flows.</w:t>
      </w:r>
    </w:p>
    <w:p w:rsidR="00000000" w:rsidRDefault="00827839">
      <w:pPr>
        <w:pStyle w:val="a3"/>
        <w:spacing w:before="240" w:beforeAutospacing="0" w:after="0" w:afterAutospacing="0"/>
        <w:jc w:val="both"/>
        <w:rPr>
          <w:color w:val="000000"/>
          <w:sz w:val="20"/>
          <w:szCs w:val="20"/>
        </w:rPr>
      </w:pPr>
      <w:r>
        <w:rPr>
          <w:color w:val="000000"/>
          <w:sz w:val="20"/>
          <w:szCs w:val="20"/>
        </w:rPr>
        <w:t>Revenue is recognized by the Partnership when goods or services promised in a contract with a customer have been transferred, and no further performance obligation on that transfer is required, in an amount that reflects the considerati</w:t>
      </w:r>
      <w:r>
        <w:rPr>
          <w:color w:val="000000"/>
          <w:sz w:val="20"/>
          <w:szCs w:val="20"/>
        </w:rPr>
        <w:t>on expected to be received.  Performance obligations are determined and evaluated based on the specific terms of the arrangements and the distinct products and services offered.  Due to the nature of the retail business of the Partnership, there are no rem</w:t>
      </w:r>
      <w:r>
        <w:rPr>
          <w:color w:val="000000"/>
          <w:sz w:val="20"/>
          <w:szCs w:val="20"/>
        </w:rPr>
        <w:t xml:space="preserve">aining or unsatisfied performance obligations as of the end of the reporting period, except for tank rental agreements, maintenance service contracts, fixed price contracts and budgetary programs, as described below.  The performance obligation associated </w:t>
      </w:r>
      <w:r>
        <w:rPr>
          <w:color w:val="000000"/>
          <w:sz w:val="20"/>
          <w:szCs w:val="20"/>
        </w:rPr>
        <w:t xml:space="preserve">with sales of propane, fuel oil and refined fuels is met at the time product is delivered to the customer.  Revenue from the sale of appliances and equipment is recognized at the time of sale or when installation is complete, as defined by the performance </w:t>
      </w:r>
      <w:r>
        <w:rPr>
          <w:color w:val="000000"/>
          <w:sz w:val="20"/>
          <w:szCs w:val="20"/>
        </w:rPr>
        <w:t>obligations included within the related customer contract.  Revenue from repairs, maintenance and other service activities is recognized upon completion of the service.  Revenue from the sale of natural gas and electricity is recognized based on customer u</w:t>
      </w:r>
      <w:r>
        <w:rPr>
          <w:color w:val="000000"/>
          <w:sz w:val="20"/>
          <w:szCs w:val="20"/>
        </w:rPr>
        <w:t>sage as determined by meter readings for amounts delivered, an immaterial amount of which may be unbilled at the end of each accounting period.</w:t>
      </w:r>
    </w:p>
    <w:p w:rsidR="00000000" w:rsidRDefault="00827839">
      <w:pPr>
        <w:pStyle w:val="a3"/>
        <w:spacing w:before="240" w:beforeAutospacing="0" w:after="0" w:afterAutospacing="0"/>
        <w:jc w:val="both"/>
        <w:rPr>
          <w:color w:val="000000"/>
          <w:sz w:val="20"/>
          <w:szCs w:val="20"/>
        </w:rPr>
      </w:pPr>
      <w:r>
        <w:rPr>
          <w:color w:val="000000"/>
          <w:sz w:val="20"/>
          <w:szCs w:val="20"/>
        </w:rPr>
        <w:t xml:space="preserve">The Partnership defers the recognition of revenue for annually billed tank rent, maintenance service contracts, </w:t>
      </w:r>
      <w:r>
        <w:rPr>
          <w:color w:val="000000"/>
          <w:sz w:val="20"/>
          <w:szCs w:val="20"/>
        </w:rPr>
        <w:t>fixed price contracts and budgetary programs where customer consideration is received at the start of the contract period, establishing contract liabilities which are disclosed as customer deposits and advances on the consolidated balance sheets.  Deliveri</w:t>
      </w:r>
      <w:r>
        <w:rPr>
          <w:color w:val="000000"/>
          <w:sz w:val="20"/>
          <w:szCs w:val="20"/>
        </w:rPr>
        <w:t>es to customers enrolled in budgetary programs that exceed billings to those customers establish contract assets which are included in accounts receivable on the consolidated balance sheets.  The Partnership ratably recognizes revenue over the applicable t</w:t>
      </w:r>
      <w:r>
        <w:rPr>
          <w:color w:val="000000"/>
          <w:sz w:val="20"/>
          <w:szCs w:val="20"/>
        </w:rPr>
        <w:t>erm for tank rent and maintenance service agreements, which is generally one year, and at the time of delivery for fixed price contracts and budgetary programs.  </w:t>
      </w:r>
    </w:p>
    <w:p w:rsidR="00000000" w:rsidRDefault="00827839">
      <w:pPr>
        <w:pStyle w:val="a3"/>
        <w:spacing w:before="240" w:beforeAutospacing="0" w:after="0" w:afterAutospacing="0"/>
        <w:jc w:val="both"/>
        <w:rPr>
          <w:color w:val="000000"/>
          <w:sz w:val="20"/>
          <w:szCs w:val="20"/>
        </w:rPr>
      </w:pPr>
      <w:r>
        <w:rPr>
          <w:color w:val="000000"/>
          <w:sz w:val="20"/>
          <w:szCs w:val="20"/>
        </w:rPr>
        <w:t>The Partnership incurs incremental direct costs, such as commissions to its salesforce, to ob</w:t>
      </w:r>
      <w:r>
        <w:rPr>
          <w:color w:val="000000"/>
          <w:sz w:val="20"/>
          <w:szCs w:val="20"/>
        </w:rPr>
        <w:t>tain certain contracts.  These costs are expensed as incurred, consistent with the practical expedients issued by the FASB, since the expected amortization period is one year or less.  The Partnership generally determines selling prices based on, among oth</w:t>
      </w:r>
      <w:r>
        <w:rPr>
          <w:color w:val="000000"/>
          <w:sz w:val="20"/>
          <w:szCs w:val="20"/>
        </w:rPr>
        <w:t>er things, the current weighted average cost and the current replacement cost of the product at the time of delivery, plus an applicable margin.  Except for tank rental agreements, maintenance service contracts, fixed price contracts and budgetary programs</w:t>
      </w:r>
      <w:r>
        <w:rPr>
          <w:color w:val="000000"/>
          <w:sz w:val="20"/>
          <w:szCs w:val="20"/>
        </w:rPr>
        <w:t>, customer payments for the satisfaction of a performance obligation are due upon receipt.</w:t>
      </w:r>
    </w:p>
    <w:p w:rsidR="00000000" w:rsidRDefault="00827839">
      <w:pPr>
        <w:pStyle w:val="a3"/>
        <w:spacing w:before="240" w:beforeAutospacing="0" w:after="0" w:afterAutospacing="0"/>
        <w:jc w:val="both"/>
        <w:rPr>
          <w:b/>
          <w:bCs/>
          <w:sz w:val="20"/>
          <w:szCs w:val="20"/>
        </w:rPr>
      </w:pPr>
      <w:r>
        <w:rPr>
          <w:b/>
          <w:bCs/>
          <w:sz w:val="20"/>
          <w:szCs w:val="20"/>
        </w:rPr>
        <w:t>Fair Value Measurements.</w:t>
      </w:r>
      <w:r>
        <w:rPr>
          <w:sz w:val="20"/>
          <w:szCs w:val="20"/>
        </w:rPr>
        <w:t>  </w:t>
      </w:r>
      <w:r>
        <w:rPr>
          <w:sz w:val="20"/>
          <w:szCs w:val="20"/>
        </w:rPr>
        <w:t>The Partnership measures certain of its assets and liabilities at fair value, which is defined as the price that would be received to sell an asset or paid to transfer a liability in an orderly transaction between market participants – in either the princi</w:t>
      </w:r>
      <w:r>
        <w:rPr>
          <w:sz w:val="20"/>
          <w:szCs w:val="20"/>
        </w:rPr>
        <w:t>pal market or the most advantageous market.  The principal market is the market with the greatest level of activity and volume for the asset or liability.</w:t>
      </w:r>
    </w:p>
    <w:p w:rsidR="00000000" w:rsidRDefault="00827839">
      <w:pPr>
        <w:pStyle w:val="a3"/>
        <w:spacing w:before="240" w:beforeAutospacing="0" w:after="0" w:afterAutospacing="0"/>
        <w:jc w:val="both"/>
        <w:rPr>
          <w:sz w:val="20"/>
          <w:szCs w:val="20"/>
        </w:rPr>
      </w:pPr>
      <w:r>
        <w:rPr>
          <w:sz w:val="20"/>
          <w:szCs w:val="20"/>
        </w:rPr>
        <w:t>The common framework for measuring fair value utilizes a three-level hierarchy to prioritize the inpu</w:t>
      </w:r>
      <w:r>
        <w:rPr>
          <w:sz w:val="20"/>
          <w:szCs w:val="20"/>
        </w:rPr>
        <w:t>ts used in the valuation techniques to derive fair values.  The basis for fair value measurements for each level within the hierarchy is described below with Level 1 having the highest priority and Level 3 having the lowest.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34552608"/>
        </w:trPr>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Level 1:  Quoted prices in ac</w:t>
            </w:r>
            <w:r>
              <w:rPr>
                <w:sz w:val="20"/>
                <w:szCs w:val="20"/>
              </w:rPr>
              <w:t>tive markets for identical assets or liabilities.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 xml:space="preserve">Level 2: Quoted prices in active markets for similar assets or liabilities; </w:t>
            </w:r>
            <w:r>
              <w:rPr>
                <w:sz w:val="20"/>
                <w:szCs w:val="20"/>
              </w:rPr>
              <w:t>quoted prices for identical or similar instruments in markets that are not active; and model-derived valuations in which all significant inputs are observable in active markets.</w:t>
            </w:r>
          </w:p>
        </w:tc>
      </w:tr>
    </w:tbl>
    <w:p w:rsidR="00000000" w:rsidRDefault="00827839">
      <w:pPr>
        <w:divId w:val="30115473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01154730"/>
        </w:trPr>
        <w:tc>
          <w:tcPr>
            <w:tcW w:w="227" w:type="pct"/>
            <w:noWrap/>
            <w:hideMark/>
          </w:tcPr>
          <w:p w:rsidR="00000000" w:rsidRDefault="00827839">
            <w:pPr>
              <w:pStyle w:val="a3"/>
              <w:spacing w:before="120" w:beforeAutospacing="0" w:after="0" w:afterAutospacing="0"/>
              <w:jc w:val="both"/>
              <w:rPr>
                <w:sz w:val="20"/>
                <w:szCs w:val="20"/>
              </w:rPr>
            </w:pPr>
            <w:r>
              <w:rPr>
                <w:sz w:val="20"/>
                <w:szCs w:val="20"/>
              </w:rPr>
              <w:t>•</w:t>
            </w:r>
          </w:p>
        </w:tc>
        <w:tc>
          <w:tcPr>
            <w:tcW w:w="0" w:type="auto"/>
            <w:hideMark/>
          </w:tcPr>
          <w:p w:rsidR="00000000" w:rsidRDefault="00827839">
            <w:pPr>
              <w:pStyle w:val="a3"/>
              <w:spacing w:before="120" w:beforeAutospacing="0" w:after="0" w:afterAutospacing="0"/>
              <w:jc w:val="both"/>
              <w:rPr>
                <w:sz w:val="20"/>
                <w:szCs w:val="20"/>
              </w:rPr>
            </w:pPr>
            <w:r>
              <w:rPr>
                <w:sz w:val="20"/>
                <w:szCs w:val="20"/>
              </w:rPr>
              <w:t>Level 3: Valuations derived from valuation techniques in which one or more</w:t>
            </w:r>
            <w:r>
              <w:rPr>
                <w:sz w:val="20"/>
                <w:szCs w:val="20"/>
              </w:rPr>
              <w:t xml:space="preserve"> significant inputs are unobservable.</w:t>
            </w:r>
          </w:p>
        </w:tc>
      </w:tr>
    </w:tbl>
    <w:p w:rsidR="00000000" w:rsidRDefault="00827839">
      <w:pPr>
        <w:pStyle w:val="a3"/>
        <w:spacing w:before="240" w:beforeAutospacing="0" w:after="0" w:afterAutospacing="0"/>
        <w:jc w:val="both"/>
        <w:rPr>
          <w:b/>
          <w:bCs/>
          <w:sz w:val="20"/>
          <w:szCs w:val="20"/>
        </w:rPr>
      </w:pPr>
      <w:r>
        <w:rPr>
          <w:b/>
          <w:bCs/>
          <w:sz w:val="20"/>
          <w:szCs w:val="20"/>
        </w:rPr>
        <w:t>Business Combinations.</w:t>
      </w:r>
      <w:r>
        <w:rPr>
          <w:sz w:val="20"/>
          <w:szCs w:val="20"/>
        </w:rPr>
        <w:t xml:space="preserve">  The Partnership accounts for business combinations using the acquisition method and accordingly, the assets and liabilities of the acquired entities are recorded at their estimated fair values </w:t>
      </w:r>
      <w:r>
        <w:rPr>
          <w:sz w:val="20"/>
          <w:szCs w:val="20"/>
        </w:rPr>
        <w:t>at the acquisition date.  Goodwill represents the excess of the purchase price over the fair value of the net assets acquired, including the amount assigned to identifiable intangible assets.  The primary drivers that generate goodwill are the value of syn</w:t>
      </w:r>
      <w:r>
        <w:rPr>
          <w:sz w:val="20"/>
          <w:szCs w:val="20"/>
        </w:rPr>
        <w:t>ergies between the acquired entities and the Partnership, and the acquired assembled workforce, neither of which qualifies as an identifiable intangible asset.  Identifiable intangible assets with finite lives are amortized over their useful lives.  The re</w:t>
      </w:r>
      <w:r>
        <w:rPr>
          <w:sz w:val="20"/>
          <w:szCs w:val="20"/>
        </w:rPr>
        <w:t>sults of operations of acquired businesses are included in the consolidated financial statements from the acquisition date.  The Partnership expenses all acquisition-related costs as incurred. </w:t>
      </w:r>
    </w:p>
    <w:p w:rsidR="00000000" w:rsidRDefault="00827839">
      <w:pPr>
        <w:pStyle w:val="a3"/>
        <w:spacing w:before="240" w:beforeAutospacing="0" w:after="0" w:afterAutospacing="0"/>
        <w:jc w:val="both"/>
        <w:rPr>
          <w:b/>
          <w:bCs/>
          <w:sz w:val="20"/>
          <w:szCs w:val="20"/>
        </w:rPr>
      </w:pPr>
      <w:r>
        <w:rPr>
          <w:b/>
          <w:bCs/>
          <w:sz w:val="20"/>
          <w:szCs w:val="20"/>
        </w:rPr>
        <w:t>Use of Estimates.</w:t>
      </w:r>
      <w:r>
        <w:rPr>
          <w:sz w:val="20"/>
          <w:szCs w:val="20"/>
        </w:rPr>
        <w:t xml:space="preserve">  The preparation of financial statements in </w:t>
      </w:r>
      <w:r>
        <w:rPr>
          <w:sz w:val="20"/>
          <w:szCs w:val="20"/>
        </w:rPr>
        <w:t>conformity with accounting principles generally accepted in the United States of America (“US GAAP”) requires management to make estimates and assumptions that affect the reported amounts of assets and liabilities and disclosure of contingent assets and li</w:t>
      </w:r>
      <w:r>
        <w:rPr>
          <w:sz w:val="20"/>
          <w:szCs w:val="20"/>
        </w:rPr>
        <w:t xml:space="preserve">abilities at the date of the financial statements and the reported amounts of revenues and expenses during the reporting period.  Estimates have been made by management in the areas of self-insurance and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F-10</w:t>
      </w:r>
    </w:p>
    <w:p w:rsidR="00000000" w:rsidRDefault="00827839">
      <w:pPr>
        <w:rPr>
          <w:rFonts w:eastAsia="Times New Roman"/>
        </w:rPr>
      </w:pPr>
      <w:r>
        <w:rPr>
          <w:rFonts w:eastAsia="Times New Roman"/>
        </w:rPr>
        <w:pict>
          <v:rect id="_x0000_i1125"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sz w:val="20"/>
          <w:szCs w:val="20"/>
        </w:rPr>
        <w:t>litiga</w:t>
      </w:r>
      <w:r>
        <w:rPr>
          <w:sz w:val="20"/>
          <w:szCs w:val="20"/>
        </w:rPr>
        <w:t>tion reserves, pension and other postretirement benefit liabilities and costs, valuation of derivative instruments, depreciation and amortization of long-lived assets, asset impairment assessments, tax valuation allowances, allowances for doubtful accounts</w:t>
      </w:r>
      <w:r>
        <w:rPr>
          <w:sz w:val="20"/>
          <w:szCs w:val="20"/>
        </w:rPr>
        <w:t xml:space="preserve">, and purchase price allocation for acquired businesses. The Partnership uses Society of Actuaries life expectancy information when developing the annual mortality assumptions for the pension and postretirement benefit plans, which are used to measure net </w:t>
      </w:r>
      <w:r>
        <w:rPr>
          <w:sz w:val="20"/>
          <w:szCs w:val="20"/>
        </w:rPr>
        <w:t>periodic benefit costs and the obligation under these plans. Actual results could differ from those estimates, making it reasonably possible that a material change in these estimates could occur in the near term.</w:t>
      </w:r>
    </w:p>
    <w:p w:rsidR="00000000" w:rsidRDefault="00827839">
      <w:pPr>
        <w:pStyle w:val="a3"/>
        <w:spacing w:before="240" w:beforeAutospacing="0" w:after="0" w:afterAutospacing="0"/>
        <w:jc w:val="both"/>
        <w:rPr>
          <w:b/>
          <w:bCs/>
          <w:sz w:val="20"/>
          <w:szCs w:val="20"/>
        </w:rPr>
      </w:pPr>
      <w:r>
        <w:rPr>
          <w:b/>
          <w:bCs/>
          <w:sz w:val="20"/>
          <w:szCs w:val="20"/>
        </w:rPr>
        <w:t>Cash and Cash Equivalents.</w:t>
      </w:r>
      <w:r>
        <w:rPr>
          <w:sz w:val="20"/>
          <w:szCs w:val="20"/>
        </w:rPr>
        <w:t>  The Partnership</w:t>
      </w:r>
      <w:r>
        <w:rPr>
          <w:sz w:val="20"/>
          <w:szCs w:val="20"/>
        </w:rPr>
        <w:t xml:space="preserve"> considers all highly liquid instruments purchased with an original maturity of three months or less to be cash equivalents.  The carrying amount approximates fair value because of the short maturity of these instruments.</w:t>
      </w:r>
    </w:p>
    <w:p w:rsidR="00000000" w:rsidRDefault="00827839">
      <w:pPr>
        <w:pStyle w:val="a3"/>
        <w:spacing w:before="240" w:beforeAutospacing="0" w:after="0" w:afterAutospacing="0"/>
        <w:jc w:val="both"/>
        <w:rPr>
          <w:b/>
          <w:bCs/>
          <w:sz w:val="20"/>
          <w:szCs w:val="20"/>
        </w:rPr>
      </w:pPr>
      <w:r>
        <w:rPr>
          <w:b/>
          <w:bCs/>
          <w:sz w:val="20"/>
          <w:szCs w:val="20"/>
        </w:rPr>
        <w:t>Inventories.</w:t>
      </w:r>
      <w:r>
        <w:rPr>
          <w:sz w:val="20"/>
          <w:szCs w:val="20"/>
        </w:rPr>
        <w:t>  </w:t>
      </w:r>
      <w:r>
        <w:rPr>
          <w:sz w:val="20"/>
          <w:szCs w:val="20"/>
        </w:rPr>
        <w:t>Inventories are stated at the lower of cost or market.  Cost is determined using a weighted average method for propane, fuel oil and refined fuels and natural gas, and a standard cost basis for appliances, which approximates average cost.</w:t>
      </w:r>
    </w:p>
    <w:p w:rsidR="00000000" w:rsidRDefault="00827839">
      <w:pPr>
        <w:pStyle w:val="a3"/>
        <w:spacing w:before="360" w:beforeAutospacing="0" w:after="0" w:afterAutospacing="0"/>
        <w:jc w:val="both"/>
        <w:rPr>
          <w:b/>
          <w:bCs/>
          <w:sz w:val="20"/>
          <w:szCs w:val="20"/>
        </w:rPr>
      </w:pPr>
      <w:r>
        <w:rPr>
          <w:b/>
          <w:bCs/>
          <w:sz w:val="20"/>
          <w:szCs w:val="20"/>
        </w:rPr>
        <w:t>Derivative Instru</w:t>
      </w:r>
      <w:r>
        <w:rPr>
          <w:b/>
          <w:bCs/>
          <w:sz w:val="20"/>
          <w:szCs w:val="20"/>
        </w:rPr>
        <w:t>ments and Hedging Activities</w:t>
      </w:r>
    </w:p>
    <w:p w:rsidR="00000000" w:rsidRDefault="00827839">
      <w:pPr>
        <w:pStyle w:val="a3"/>
        <w:spacing w:before="120" w:beforeAutospacing="0" w:after="0" w:afterAutospacing="0"/>
        <w:jc w:val="both"/>
        <w:rPr>
          <w:i/>
          <w:iCs/>
          <w:sz w:val="20"/>
          <w:szCs w:val="20"/>
        </w:rPr>
      </w:pPr>
      <w:r>
        <w:rPr>
          <w:i/>
          <w:iCs/>
          <w:sz w:val="20"/>
          <w:szCs w:val="20"/>
        </w:rPr>
        <w:t>Commodity Price Risk.</w:t>
      </w:r>
      <w:r>
        <w:rPr>
          <w:sz w:val="20"/>
          <w:szCs w:val="20"/>
        </w:rPr>
        <w:t>  Given the retail nature of its operations, the Partnership maintains a certain level of priced physical inventory to help ensure its field operations have adequate supply commensurate with the time of yea</w:t>
      </w:r>
      <w:r>
        <w:rPr>
          <w:sz w:val="20"/>
          <w:szCs w:val="20"/>
        </w:rPr>
        <w:t>r.  The Partnership’s strategy is to keep its physical inventory priced relatively close to market for its field operations.  The Partnership enters into a combination of exchange-traded futures and option contracts and, in certain instances, over-the-coun</w:t>
      </w:r>
      <w:r>
        <w:rPr>
          <w:sz w:val="20"/>
          <w:szCs w:val="20"/>
        </w:rPr>
        <w:t>ter options and swap contracts (collectively, “derivative instruments”) to hedge price risk associated with propane and fuel oil physical inventories, as well as future purchases of propane or fuel oil used in its operations and to help ensure adequate sup</w:t>
      </w:r>
      <w:r>
        <w:rPr>
          <w:sz w:val="20"/>
          <w:szCs w:val="20"/>
        </w:rPr>
        <w:t>ply during periods of high demand.  In addition, the Partnership sells propane and fuel oil to customers at fixed prices, and enters into derivative instruments to hedge a portion of its exposure to fluctuations in commodity prices as a result of selling t</w:t>
      </w:r>
      <w:r>
        <w:rPr>
          <w:sz w:val="20"/>
          <w:szCs w:val="20"/>
        </w:rPr>
        <w:t>he fixed price contracts.  Under this risk management strategy, realized gains or losses on derivative instruments will typically offset losses or gains on the physical inventory once the product is sold or delivered as it pertains to fixed price contracts</w:t>
      </w:r>
      <w:r>
        <w:rPr>
          <w:sz w:val="20"/>
          <w:szCs w:val="20"/>
        </w:rPr>
        <w:t>.  All of the Partnership’s derivative instruments are reported on the consolidated balance sheet at their fair values.  In addition, in the course of normal operations, the Partnership routinely enters into contracts such as forward priced physical contra</w:t>
      </w:r>
      <w:r>
        <w:rPr>
          <w:sz w:val="20"/>
          <w:szCs w:val="20"/>
        </w:rPr>
        <w:t>cts for the purchase or sale of propane and fuel oil that qualify for and are designated as normal purchase or normal sale contracts.  Such contracts are exempted from the fair value accounting requirements and are accounted for at the time product is purc</w:t>
      </w:r>
      <w:r>
        <w:rPr>
          <w:sz w:val="20"/>
          <w:szCs w:val="20"/>
        </w:rPr>
        <w:t>hased or sold under the related contract.  The Partnership does not use derivative instruments for speculative trading purposes.  Market risks associated with derivative instruments are monitored daily for compliance with the Partnership’s Hedging and Risk</w:t>
      </w:r>
      <w:r>
        <w:rPr>
          <w:sz w:val="20"/>
          <w:szCs w:val="20"/>
        </w:rPr>
        <w:t xml:space="preserve"> Management Policy which includes volume limits for open positions.  Priced on-hand inventory is also reviewed and managed daily as to exposures to changing market prices.</w:t>
      </w:r>
    </w:p>
    <w:p w:rsidR="00000000" w:rsidRDefault="00827839">
      <w:pPr>
        <w:pStyle w:val="a3"/>
        <w:spacing w:before="240" w:beforeAutospacing="0" w:after="0" w:afterAutospacing="0"/>
        <w:jc w:val="both"/>
        <w:rPr>
          <w:sz w:val="20"/>
          <w:szCs w:val="20"/>
        </w:rPr>
      </w:pPr>
      <w:r>
        <w:rPr>
          <w:sz w:val="20"/>
          <w:szCs w:val="20"/>
        </w:rPr>
        <w:t>On the date that derivative instruments are entered into, other than those designate</w:t>
      </w:r>
      <w:r>
        <w:rPr>
          <w:sz w:val="20"/>
          <w:szCs w:val="20"/>
        </w:rPr>
        <w:t>d as normal purchases or normal sales, the Partnership makes a determination as to whether the derivative instrument qualifies for designation as a hedge.  Changes in the fair value of derivative instruments are recorded each period in current period earni</w:t>
      </w:r>
      <w:r>
        <w:rPr>
          <w:sz w:val="20"/>
          <w:szCs w:val="20"/>
        </w:rPr>
        <w:t>ngs or other comprehensive income (“OCI”), depending on whether the derivative instrument is designated as a hedge and, if so, the type of hedge.  For derivative instruments designated as cash flow hedges, the Partnership formally assesses, both at the hed</w:t>
      </w:r>
      <w:r>
        <w:rPr>
          <w:sz w:val="20"/>
          <w:szCs w:val="20"/>
        </w:rPr>
        <w:t xml:space="preserve">ge contract’s inception and on an ongoing basis, whether the hedge contract is highly effective in offsetting changes in cash flows of hedged items.  Changes in the fair value of derivative instruments designated as cash flow hedges are reported in OCI to </w:t>
      </w:r>
      <w:r>
        <w:rPr>
          <w:sz w:val="20"/>
          <w:szCs w:val="20"/>
        </w:rPr>
        <w:t>the extent effective and reclassified into earnings during the same period in which the hedged item affects earnings.  The mark-to-market gains or losses on ineffective portions of cash flow hedges are recognized in earnings immediately.  Changes in the fa</w:t>
      </w:r>
      <w:r>
        <w:rPr>
          <w:sz w:val="20"/>
          <w:szCs w:val="20"/>
        </w:rPr>
        <w:t xml:space="preserve">ir value of derivative instruments that are not designated as cash flow hedges, and that do not meet the normal purchase and normal sale exemption, are recorded within earnings as they occur.  Cash flows associated with derivative instruments are reported </w:t>
      </w:r>
      <w:r>
        <w:rPr>
          <w:sz w:val="20"/>
          <w:szCs w:val="20"/>
        </w:rPr>
        <w:t>as operating activities within the consolidated statement of cash flows.</w:t>
      </w:r>
    </w:p>
    <w:p w:rsidR="00000000" w:rsidRDefault="00827839">
      <w:pPr>
        <w:pStyle w:val="a3"/>
        <w:spacing w:before="240" w:beforeAutospacing="0" w:after="0" w:afterAutospacing="0"/>
        <w:jc w:val="both"/>
        <w:rPr>
          <w:i/>
          <w:iCs/>
          <w:sz w:val="20"/>
          <w:szCs w:val="20"/>
        </w:rPr>
      </w:pPr>
      <w:r>
        <w:rPr>
          <w:i/>
          <w:iCs/>
          <w:sz w:val="20"/>
          <w:szCs w:val="20"/>
        </w:rPr>
        <w:t>Interest Rate Risk.</w:t>
      </w:r>
      <w:r>
        <w:rPr>
          <w:sz w:val="20"/>
          <w:szCs w:val="20"/>
        </w:rPr>
        <w:t>  A portion of the Partnership’s borrowings bear interest at prevailing interest rates based upon, at the Operating Partnership’s option, LIBOR plus an applicable m</w:t>
      </w:r>
      <w:r>
        <w:rPr>
          <w:sz w:val="20"/>
          <w:szCs w:val="20"/>
        </w:rPr>
        <w:t>argin or the base rate, defined as the higher of the Federal Funds Rate plus</w:t>
      </w:r>
      <w:r>
        <w:rPr>
          <w:sz w:val="20"/>
          <w:szCs w:val="20"/>
        </w:rPr>
        <w:t xml:space="preserve"> </w:t>
      </w:r>
      <w:r>
        <w:rPr>
          <w:sz w:val="20"/>
          <w:szCs w:val="20"/>
        </w:rPr>
        <w:t>½</w:t>
      </w:r>
      <w:r>
        <w:rPr>
          <w:sz w:val="20"/>
          <w:szCs w:val="20"/>
        </w:rPr>
        <w:t xml:space="preserve"> of 1% or the agent bank’s prime rate, or LIBOR plus 1%, plus the applicable margin.  The applicable margin is dependent on the level of the Partnership’s total leverage (the rat</w:t>
      </w:r>
      <w:r>
        <w:rPr>
          <w:sz w:val="20"/>
          <w:szCs w:val="20"/>
        </w:rPr>
        <w:t>io of total debt to income before deducting interest expense, income taxes, depreciation and amortization (“EBITDA”)).  Therefore, the Partnership is subject to interest rate risk on the variable component of the interest rate.  From time to time, the Part</w:t>
      </w:r>
      <w:r>
        <w:rPr>
          <w:sz w:val="20"/>
          <w:szCs w:val="20"/>
        </w:rPr>
        <w:t>nership manages part of its variable interest rate risk by entering into interest rate swap agreements. The interest rate swaps have been designated as, and are accounted for as, cash flow hedges.  The fair value of the interest rate swaps are determined u</w:t>
      </w:r>
      <w:r>
        <w:rPr>
          <w:sz w:val="20"/>
          <w:szCs w:val="20"/>
        </w:rPr>
        <w:t xml:space="preserve">sing an income approach, whereby future settlements under the swaps are converted into a single present value, with fair value being based on the value of current market expectations about those future amounts.  Changes in the fair value are recognized in </w:t>
      </w:r>
      <w:r>
        <w:rPr>
          <w:sz w:val="20"/>
          <w:szCs w:val="20"/>
        </w:rPr>
        <w:t>OCI until the hedged item is recognized in earnings.  However, due to changes in the underlying interest rate environment, the corresponding value in OCI is subject to change prior to its impact on earnings.</w:t>
      </w:r>
    </w:p>
    <w:p w:rsidR="00000000" w:rsidRDefault="00827839">
      <w:pPr>
        <w:pStyle w:val="a3"/>
        <w:spacing w:before="240" w:beforeAutospacing="0" w:after="0" w:afterAutospacing="0"/>
        <w:jc w:val="both"/>
        <w:rPr>
          <w:i/>
          <w:iCs/>
          <w:sz w:val="20"/>
          <w:szCs w:val="20"/>
        </w:rPr>
      </w:pPr>
      <w:r>
        <w:rPr>
          <w:i/>
          <w:iCs/>
          <w:sz w:val="20"/>
          <w:szCs w:val="20"/>
        </w:rPr>
        <w:t>Valuation of Derivative Instruments.</w:t>
      </w:r>
      <w:r>
        <w:rPr>
          <w:sz w:val="20"/>
          <w:szCs w:val="20"/>
        </w:rPr>
        <w:t>  The Partne</w:t>
      </w:r>
      <w:r>
        <w:rPr>
          <w:sz w:val="20"/>
          <w:szCs w:val="20"/>
        </w:rPr>
        <w:t>rship measures the fair value of its exchange-traded options and futures contracts using quoted market prices found on the New York Mercantile Exchange (the “NYMEX”) (Level 1 inputs); the fair value of its swap contracts using quoted forward prices, and th</w:t>
      </w:r>
      <w:r>
        <w:rPr>
          <w:sz w:val="20"/>
          <w:szCs w:val="20"/>
        </w:rPr>
        <w:t xml:space="preserve">e fair value of its interest rate swaps using model-derived valuations driven by observable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F-11</w:t>
      </w:r>
    </w:p>
    <w:p w:rsidR="00000000" w:rsidRDefault="00827839">
      <w:pPr>
        <w:rPr>
          <w:rFonts w:eastAsia="Times New Roman"/>
        </w:rPr>
      </w:pPr>
      <w:r>
        <w:rPr>
          <w:rFonts w:eastAsia="Times New Roman"/>
        </w:rPr>
        <w:pict>
          <v:rect id="_x0000_i1126"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i/>
          <w:iCs/>
          <w:sz w:val="20"/>
          <w:szCs w:val="20"/>
        </w:rPr>
      </w:pPr>
      <w:r>
        <w:rPr>
          <w:sz w:val="20"/>
          <w:szCs w:val="20"/>
        </w:rPr>
        <w:t>projected movements of the 3-month LIBOR (Level 2 inputs); and the fair value of its over-the-counter options contract</w:t>
      </w:r>
      <w:r>
        <w:rPr>
          <w:sz w:val="20"/>
          <w:szCs w:val="20"/>
        </w:rPr>
        <w:t>s using Level 3 inputs.  The Partnership’s over-the-counter options contracts are valued based on an internal option model.  The inputs utilized in the model are based on publicly available information as well as broker quotes.  The significant unobservabl</w:t>
      </w:r>
      <w:r>
        <w:rPr>
          <w:sz w:val="20"/>
          <w:szCs w:val="20"/>
        </w:rPr>
        <w:t>e inputs used in the fair value measurements of the Partnership’s over-the-counter options contracts are interest rate and market volatility.</w:t>
      </w:r>
    </w:p>
    <w:p w:rsidR="00000000" w:rsidRDefault="00827839">
      <w:pPr>
        <w:pStyle w:val="a3"/>
        <w:spacing w:before="360" w:beforeAutospacing="0" w:after="0" w:afterAutospacing="0"/>
        <w:jc w:val="both"/>
        <w:rPr>
          <w:b/>
          <w:bCs/>
          <w:sz w:val="20"/>
          <w:szCs w:val="20"/>
        </w:rPr>
      </w:pPr>
      <w:r>
        <w:rPr>
          <w:b/>
          <w:bCs/>
          <w:sz w:val="20"/>
          <w:szCs w:val="20"/>
        </w:rPr>
        <w:t>Long-Lived Assets</w:t>
      </w:r>
    </w:p>
    <w:p w:rsidR="00000000" w:rsidRDefault="00827839">
      <w:pPr>
        <w:pStyle w:val="a3"/>
        <w:spacing w:before="120" w:beforeAutospacing="0" w:after="0" w:afterAutospacing="0"/>
        <w:jc w:val="both"/>
        <w:rPr>
          <w:i/>
          <w:iCs/>
          <w:sz w:val="20"/>
          <w:szCs w:val="20"/>
        </w:rPr>
      </w:pPr>
      <w:r>
        <w:rPr>
          <w:i/>
          <w:iCs/>
          <w:sz w:val="20"/>
          <w:szCs w:val="20"/>
        </w:rPr>
        <w:t>Property, plant and equipment.</w:t>
      </w:r>
      <w:r>
        <w:rPr>
          <w:sz w:val="20"/>
          <w:szCs w:val="20"/>
        </w:rPr>
        <w:t xml:space="preserve">  Property, plant and equipment are stated at cost.  Expenditures </w:t>
      </w:r>
      <w:r>
        <w:rPr>
          <w:sz w:val="20"/>
          <w:szCs w:val="20"/>
        </w:rPr>
        <w:t>for maintenance and routine repairs are expensed as incurred while betterments are capitalized as additions to the related assets and depreciated over the asset’s remaining useful life.  The Partnership capitalizes costs incurred in the acquisition and mod</w:t>
      </w:r>
      <w:r>
        <w:rPr>
          <w:sz w:val="20"/>
          <w:szCs w:val="20"/>
        </w:rPr>
        <w:t>ification of computer software used internally, including consulting fees and costs of employees dedicated solely to a specific project.  At the time assets are retired, or otherwise disposed of, the asset and related accumulated depreciation are removed f</w:t>
      </w:r>
      <w:r>
        <w:rPr>
          <w:sz w:val="20"/>
          <w:szCs w:val="20"/>
        </w:rPr>
        <w:t>rom the accounts, and any resulting gain or loss is recognized within operating expenses.  Depreciation is determined under the straight</w:t>
      </w:r>
      <w:r>
        <w:rPr>
          <w:sz w:val="20"/>
          <w:szCs w:val="20"/>
        </w:rPr>
        <w:noBreakHyphen/>
        <w:t>line method based upon the estimated useful life of the asset as follows:</w:t>
      </w:r>
    </w:p>
    <w:p w:rsidR="00000000" w:rsidRDefault="00827839">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715"/>
        <w:gridCol w:w="122"/>
        <w:gridCol w:w="1147"/>
      </w:tblGrid>
      <w:tr w:rsidR="00000000">
        <w:trPr>
          <w:divId w:val="2117825573"/>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Buildings</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 Years</w:t>
            </w:r>
          </w:p>
        </w:tc>
      </w:tr>
      <w:tr w:rsidR="00000000">
        <w:trPr>
          <w:divId w:val="2117825573"/>
        </w:trPr>
        <w:tc>
          <w:tcPr>
            <w:tcW w:w="37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Building and land improvements</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 Years</w:t>
            </w:r>
          </w:p>
        </w:tc>
      </w:tr>
      <w:tr w:rsidR="00000000">
        <w:trPr>
          <w:divId w:val="2117825573"/>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Transportation equipment</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 Years</w:t>
            </w:r>
          </w:p>
        </w:tc>
      </w:tr>
      <w:tr w:rsidR="00000000">
        <w:trPr>
          <w:divId w:val="2117825573"/>
        </w:trPr>
        <w:tc>
          <w:tcPr>
            <w:tcW w:w="37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Storage facilities</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7-30 Years</w:t>
            </w:r>
          </w:p>
        </w:tc>
      </w:tr>
      <w:tr w:rsidR="00000000">
        <w:trPr>
          <w:divId w:val="2117825573"/>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Office equipment</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5-10 Years</w:t>
            </w:r>
          </w:p>
        </w:tc>
      </w:tr>
      <w:tr w:rsidR="00000000">
        <w:trPr>
          <w:divId w:val="2117825573"/>
        </w:trPr>
        <w:tc>
          <w:tcPr>
            <w:tcW w:w="37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Tanks and cylinders</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10-40 Years</w:t>
            </w:r>
          </w:p>
        </w:tc>
      </w:tr>
      <w:tr w:rsidR="00000000">
        <w:trPr>
          <w:divId w:val="2117825573"/>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Computer software</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5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 Years</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weighted average estimated useful life of the Partnership’s storage facilities and tanks and cylinders is approximately 23 years and 28 years, respectively.</w:t>
      </w:r>
    </w:p>
    <w:p w:rsidR="00000000" w:rsidRDefault="00827839">
      <w:pPr>
        <w:pStyle w:val="a3"/>
        <w:spacing w:before="240" w:beforeAutospacing="0" w:after="0" w:afterAutospacing="0"/>
        <w:jc w:val="both"/>
        <w:rPr>
          <w:sz w:val="20"/>
          <w:szCs w:val="20"/>
        </w:rPr>
      </w:pPr>
      <w:r>
        <w:rPr>
          <w:sz w:val="20"/>
          <w:szCs w:val="20"/>
        </w:rPr>
        <w:t>The Partnership reviews the recoverability of long-lived assets when circumstances occur that i</w:t>
      </w:r>
      <w:r>
        <w:rPr>
          <w:sz w:val="20"/>
          <w:szCs w:val="20"/>
        </w:rPr>
        <w:t xml:space="preserve">ndicate that the carrying value of an asset may not be recoverable.  Such circumstances include a significant adverse change in the manner in which an asset is being used, current operating losses combined with a history of operating losses experienced by </w:t>
      </w:r>
      <w:r>
        <w:rPr>
          <w:sz w:val="20"/>
          <w:szCs w:val="20"/>
        </w:rPr>
        <w:t>the asset or a current expectation that an asset will be sold or otherwise disposed of before the end of its previously estimated useful life.  Evaluation of possible impairment is based on the Partnership’s ability to recover the value of the asset from t</w:t>
      </w:r>
      <w:r>
        <w:rPr>
          <w:sz w:val="20"/>
          <w:szCs w:val="20"/>
        </w:rPr>
        <w:t>he future undiscounted cash flows expected to result from the use and eventual disposition of the asset.  If the expected undiscounted cash flows are less than the carrying amount of such asset, an impairment loss is recorded as the amount by which the car</w:t>
      </w:r>
      <w:r>
        <w:rPr>
          <w:sz w:val="20"/>
          <w:szCs w:val="20"/>
        </w:rPr>
        <w:t>rying amount of an asset exceeds its fair value.  The fair value of an asset will be measured using the best information available, including prices for similar assets or the result of using a discounted cash flow valuation technique.</w:t>
      </w:r>
    </w:p>
    <w:p w:rsidR="00000000" w:rsidRDefault="00827839">
      <w:pPr>
        <w:pStyle w:val="a3"/>
        <w:spacing w:before="240" w:beforeAutospacing="0" w:after="0" w:afterAutospacing="0"/>
        <w:jc w:val="both"/>
        <w:rPr>
          <w:i/>
          <w:iCs/>
          <w:sz w:val="20"/>
          <w:szCs w:val="20"/>
        </w:rPr>
      </w:pPr>
      <w:r>
        <w:rPr>
          <w:i/>
          <w:iCs/>
          <w:sz w:val="20"/>
          <w:szCs w:val="20"/>
        </w:rPr>
        <w:t>Goodwill.</w:t>
      </w:r>
      <w:r>
        <w:rPr>
          <w:sz w:val="20"/>
          <w:szCs w:val="20"/>
        </w:rPr>
        <w:t>  Goodwill r</w:t>
      </w:r>
      <w:r>
        <w:rPr>
          <w:sz w:val="20"/>
          <w:szCs w:val="20"/>
        </w:rPr>
        <w:t>epresents the excess of the purchase price over the fair value of net assets acquired.  Goodwill is subject to an impairment review at a reporting unit level, on an annual basis as of the end of fiscal July of each year, or when an event occurs or circumst</w:t>
      </w:r>
      <w:r>
        <w:rPr>
          <w:sz w:val="20"/>
          <w:szCs w:val="20"/>
        </w:rPr>
        <w:t>ances change that would indicate potential impairment.</w:t>
      </w:r>
    </w:p>
    <w:p w:rsidR="00000000" w:rsidRDefault="00827839">
      <w:pPr>
        <w:pStyle w:val="a3"/>
        <w:spacing w:before="240" w:beforeAutospacing="0" w:after="0" w:afterAutospacing="0"/>
        <w:jc w:val="both"/>
        <w:rPr>
          <w:sz w:val="20"/>
          <w:szCs w:val="20"/>
        </w:rPr>
      </w:pPr>
      <w:r>
        <w:rPr>
          <w:sz w:val="20"/>
          <w:szCs w:val="20"/>
        </w:rPr>
        <w:t>The Partnership has the option to first assess qualitative factors to determine whether the existence of events or circumstances leads to a determination that it is more likely than not that the fair v</w:t>
      </w:r>
      <w:r>
        <w:rPr>
          <w:sz w:val="20"/>
          <w:szCs w:val="20"/>
        </w:rPr>
        <w:t>alue of a reporting unit is less than its carrying amount. If, after assessing the totality of events or circumstances, an entity determines it is not more likely than not that the fair value of a reporting unit is less than its carrying amount, then perfo</w:t>
      </w:r>
      <w:r>
        <w:rPr>
          <w:sz w:val="20"/>
          <w:szCs w:val="20"/>
        </w:rPr>
        <w:t>rming the two-step impairment test is unnecessary. However, if an entity concludes otherwise, then it is required to perform the first step of the two-step impairment test.</w:t>
      </w:r>
    </w:p>
    <w:p w:rsidR="00000000" w:rsidRDefault="00827839">
      <w:pPr>
        <w:pStyle w:val="a3"/>
        <w:spacing w:before="240" w:beforeAutospacing="0" w:after="0" w:afterAutospacing="0"/>
        <w:jc w:val="both"/>
        <w:rPr>
          <w:sz w:val="20"/>
          <w:szCs w:val="20"/>
        </w:rPr>
      </w:pPr>
      <w:r>
        <w:rPr>
          <w:sz w:val="20"/>
          <w:szCs w:val="20"/>
        </w:rPr>
        <w:t xml:space="preserve">Under the two-step impairment test, the Partnership assesses the carrying value of </w:t>
      </w:r>
      <w:r>
        <w:rPr>
          <w:sz w:val="20"/>
          <w:szCs w:val="20"/>
        </w:rPr>
        <w:t>goodwill at a reporting unit level based on an estimate of the fair value of the respective reporting unit.  Fair value of the reporting unit is estimated using discounted cash flow analyses taking into consideration estimated cash flows in a</w:t>
      </w:r>
      <w:r>
        <w:rPr>
          <w:sz w:val="20"/>
          <w:szCs w:val="20"/>
        </w:rPr>
        <w:t xml:space="preserve"> </w:t>
      </w:r>
      <w:r>
        <w:rPr>
          <w:sz w:val="20"/>
          <w:szCs w:val="20"/>
        </w:rPr>
        <w:t>ten-yea</w:t>
      </w:r>
      <w:r>
        <w:rPr>
          <w:sz w:val="20"/>
          <w:szCs w:val="20"/>
        </w:rPr>
        <w:t>r</w:t>
      </w:r>
      <w:r>
        <w:rPr>
          <w:sz w:val="20"/>
          <w:szCs w:val="20"/>
        </w:rPr>
        <w:t xml:space="preserve"> proj</w:t>
      </w:r>
      <w:r>
        <w:rPr>
          <w:sz w:val="20"/>
          <w:szCs w:val="20"/>
        </w:rPr>
        <w:t>ection period and a terminal value calculation at the end of the projection period.  If the fair value of the reporting unit exceeds its carrying value, the goodwill associated with the reporting unit is not considered to be impaired.  If the carrying valu</w:t>
      </w:r>
      <w:r>
        <w:rPr>
          <w:sz w:val="20"/>
          <w:szCs w:val="20"/>
        </w:rPr>
        <w:t>e of the reporting unit exceeds its fair value, an impairment loss is recognized to the extent that the carrying amount of the associated goodwill, if any, exceeds the implied fair value of the goodwill.</w:t>
      </w:r>
    </w:p>
    <w:p w:rsidR="00000000" w:rsidRDefault="00827839">
      <w:pPr>
        <w:pStyle w:val="a3"/>
        <w:spacing w:before="240" w:beforeAutospacing="0" w:after="0" w:afterAutospacing="0"/>
        <w:jc w:val="both"/>
        <w:rPr>
          <w:i/>
          <w:iCs/>
          <w:sz w:val="20"/>
          <w:szCs w:val="20"/>
        </w:rPr>
      </w:pPr>
      <w:r>
        <w:rPr>
          <w:i/>
          <w:iCs/>
          <w:sz w:val="20"/>
          <w:szCs w:val="20"/>
        </w:rPr>
        <w:t>Other Intangible Assets.</w:t>
      </w:r>
      <w:r>
        <w:rPr>
          <w:sz w:val="20"/>
          <w:szCs w:val="20"/>
        </w:rPr>
        <w:t>  Other intangible assets co</w:t>
      </w:r>
      <w:r>
        <w:rPr>
          <w:sz w:val="20"/>
          <w:szCs w:val="20"/>
        </w:rPr>
        <w:t>nsist of customer relationships, tradenames, non-compete agreements and leasehold interests.  Customer relationships and tradenames are amortized under the straight-line method over the estimated period for which the assets are expected to contribute to th</w:t>
      </w:r>
      <w:r>
        <w:rPr>
          <w:sz w:val="20"/>
          <w:szCs w:val="20"/>
        </w:rPr>
        <w:t>e future cash flows of the reporting entities to which they relate, ending periodically between fiscal years 2020 and 2031.  Non-compete agreements are amortized under the straight-line method over the periods of the related agreements.  Leasehold interest</w:t>
      </w:r>
      <w:r>
        <w:rPr>
          <w:sz w:val="20"/>
          <w:szCs w:val="20"/>
        </w:rPr>
        <w:t>s are amortized under the straight-line method over the shorter of the lease term or the useful life of the related assets, through fiscal 2025.</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F-12</w:t>
      </w:r>
    </w:p>
    <w:p w:rsidR="00000000" w:rsidRDefault="00827839">
      <w:pPr>
        <w:rPr>
          <w:rFonts w:eastAsia="Times New Roman"/>
        </w:rPr>
      </w:pPr>
      <w:r>
        <w:rPr>
          <w:rFonts w:eastAsia="Times New Roman"/>
        </w:rPr>
        <w:pict>
          <v:rect id="_x0000_i1127"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b/>
          <w:bCs/>
          <w:sz w:val="20"/>
          <w:szCs w:val="20"/>
        </w:rPr>
        <w:t>Accrued Insurance.</w:t>
      </w:r>
      <w:r>
        <w:rPr>
          <w:sz w:val="20"/>
          <w:szCs w:val="20"/>
        </w:rPr>
        <w:t>  </w:t>
      </w:r>
      <w:r>
        <w:rPr>
          <w:sz w:val="20"/>
          <w:szCs w:val="20"/>
        </w:rPr>
        <w:t>Accrued insurance represents the estimated costs of known and anticipated or unasserted claims for incidents related to general and product, workers’ compensation and automobile liability.  For each claim, the Partnership records a provision up to the esti</w:t>
      </w:r>
      <w:r>
        <w:rPr>
          <w:sz w:val="20"/>
          <w:szCs w:val="20"/>
        </w:rPr>
        <w:t>mated amount of the probable claim utilizing actuarially determined loss development factors applied to actual claims data. The Partnership is self-insured for these liabilities up to predetermined amounts above which third party insurance applies.  The Pa</w:t>
      </w:r>
      <w:r>
        <w:rPr>
          <w:sz w:val="20"/>
          <w:szCs w:val="20"/>
        </w:rPr>
        <w:t>rtnership maintains insurance coverage such that its net exposure for insured claims is limited to the insurance deductible, claims above which are paid by the Partnership’s insurance carriers.  For the portion of the estimated liability that exceeds insur</w:t>
      </w:r>
      <w:r>
        <w:rPr>
          <w:sz w:val="20"/>
          <w:szCs w:val="20"/>
        </w:rPr>
        <w:t>ance deductibles, the Partnership records an asset related to the amount of the liability expected to be covered by insurance.</w:t>
      </w:r>
    </w:p>
    <w:p w:rsidR="00000000" w:rsidRDefault="00827839">
      <w:pPr>
        <w:pStyle w:val="a3"/>
        <w:spacing w:before="240" w:beforeAutospacing="0" w:after="0" w:afterAutospacing="0"/>
        <w:jc w:val="both"/>
        <w:rPr>
          <w:b/>
          <w:bCs/>
          <w:sz w:val="20"/>
          <w:szCs w:val="20"/>
        </w:rPr>
      </w:pPr>
      <w:r>
        <w:rPr>
          <w:b/>
          <w:bCs/>
          <w:sz w:val="20"/>
          <w:szCs w:val="20"/>
        </w:rPr>
        <w:t>Pension and Other Postretirement Benefits.</w:t>
      </w:r>
      <w:r>
        <w:rPr>
          <w:sz w:val="20"/>
          <w:szCs w:val="20"/>
        </w:rPr>
        <w:t>  The Partnership estimates the rate of return on plan assets, the discount rate used t</w:t>
      </w:r>
      <w:r>
        <w:rPr>
          <w:sz w:val="20"/>
          <w:szCs w:val="20"/>
        </w:rPr>
        <w:t>o estimate the present value of future benefit obligations and the expected cost of future health care benefits in determining its annual pension and other postretirement benefit costs.  The Partnership uses Society of Actuaries mortality tables (RP-2014),</w:t>
      </w:r>
      <w:r>
        <w:rPr>
          <w:sz w:val="20"/>
          <w:szCs w:val="20"/>
        </w:rPr>
        <w:t xml:space="preserve"> mortality improvement scales (MP-2014) and other actuarial life expectancy information when developing the annual mortality assumptions for the pension and postretirement benefit plans, which are used to measure net periodic benefit costs and the obligati</w:t>
      </w:r>
      <w:r>
        <w:rPr>
          <w:sz w:val="20"/>
          <w:szCs w:val="20"/>
        </w:rPr>
        <w:t>on under these plans.</w:t>
      </w:r>
      <w:r>
        <w:rPr>
          <w:b/>
          <w:bCs/>
          <w:sz w:val="20"/>
          <w:szCs w:val="20"/>
        </w:rPr>
        <w:t>  </w:t>
      </w:r>
    </w:p>
    <w:p w:rsidR="00000000" w:rsidRDefault="00827839">
      <w:pPr>
        <w:pStyle w:val="a3"/>
        <w:spacing w:before="240" w:beforeAutospacing="0" w:after="0" w:afterAutospacing="0"/>
        <w:jc w:val="both"/>
        <w:rPr>
          <w:b/>
          <w:bCs/>
          <w:sz w:val="20"/>
          <w:szCs w:val="20"/>
        </w:rPr>
      </w:pPr>
      <w:r>
        <w:rPr>
          <w:b/>
          <w:bCs/>
          <w:sz w:val="20"/>
          <w:szCs w:val="20"/>
        </w:rPr>
        <w:t>Customer Deposits and Advances.</w:t>
      </w:r>
      <w:r>
        <w:rPr>
          <w:sz w:val="20"/>
          <w:szCs w:val="20"/>
        </w:rPr>
        <w:t>  The Partnership offers different payment programs to its customers including the ability to prepay for usage and to make equal monthly payments on account under a budget payment plan.  The Partnershi</w:t>
      </w:r>
      <w:r>
        <w:rPr>
          <w:sz w:val="20"/>
          <w:szCs w:val="20"/>
        </w:rPr>
        <w:t>p establishes a liability within customer deposits and advances for amounts collected in advance of deliveries.</w:t>
      </w:r>
    </w:p>
    <w:p w:rsidR="00000000" w:rsidRDefault="00827839">
      <w:pPr>
        <w:pStyle w:val="a3"/>
        <w:spacing w:before="240" w:beforeAutospacing="0" w:after="0" w:afterAutospacing="0"/>
        <w:jc w:val="both"/>
        <w:rPr>
          <w:b/>
          <w:bCs/>
          <w:sz w:val="20"/>
          <w:szCs w:val="20"/>
        </w:rPr>
      </w:pPr>
      <w:r>
        <w:rPr>
          <w:b/>
          <w:bCs/>
          <w:sz w:val="20"/>
          <w:szCs w:val="20"/>
        </w:rPr>
        <w:t>Income Taxes.</w:t>
      </w:r>
      <w:r>
        <w:rPr>
          <w:sz w:val="20"/>
          <w:szCs w:val="20"/>
        </w:rPr>
        <w:t>  As discussed in Note 1, the Partnership structure consists of two limited partnerships, the Partnership and the Operating Partner</w:t>
      </w:r>
      <w:r>
        <w:rPr>
          <w:sz w:val="20"/>
          <w:szCs w:val="20"/>
        </w:rPr>
        <w:t>ship, and the Corporate Entities.  For federal income tax purposes, as well as for state income tax purposes in the majority of the states in which the Partnership operates, the earnings attributable to the Partnership and the Operating Partnership are inc</w:t>
      </w:r>
      <w:r>
        <w:rPr>
          <w:sz w:val="20"/>
          <w:szCs w:val="20"/>
        </w:rPr>
        <w:t>luded in the tax returns of the Common Unitholders.  As a result, except for certain states that impose an income tax on partnerships, no income tax expense is reflected in the Partnership’s consolidated financial statements relating to the earnings of the</w:t>
      </w:r>
      <w:r>
        <w:rPr>
          <w:sz w:val="20"/>
          <w:szCs w:val="20"/>
        </w:rPr>
        <w:t xml:space="preserve"> Partnership and the Operating Partnership.  The earnings attributable to the Corporate Entities are subject to federal and state income tax.  Net earnings for financial statement purposes may differ significantly from taxable income reportable to Common U</w:t>
      </w:r>
      <w:r>
        <w:rPr>
          <w:sz w:val="20"/>
          <w:szCs w:val="20"/>
        </w:rPr>
        <w:t>nitholders as a result of differences between the tax basis and financial reporting basis of assets and liabilities and the taxable income allocation requirements under the Partnership Agreement.</w:t>
      </w:r>
    </w:p>
    <w:p w:rsidR="00000000" w:rsidRDefault="00827839">
      <w:pPr>
        <w:pStyle w:val="a3"/>
        <w:spacing w:before="240" w:beforeAutospacing="0" w:after="0" w:afterAutospacing="0"/>
        <w:jc w:val="both"/>
        <w:rPr>
          <w:sz w:val="20"/>
          <w:szCs w:val="20"/>
        </w:rPr>
      </w:pPr>
      <w:r>
        <w:rPr>
          <w:sz w:val="20"/>
          <w:szCs w:val="20"/>
        </w:rPr>
        <w:t>Income taxes for the Corporate Entities are provided based o</w:t>
      </w:r>
      <w:r>
        <w:rPr>
          <w:sz w:val="20"/>
          <w:szCs w:val="20"/>
        </w:rPr>
        <w:t>n the asset and liability approach to accounting for income taxes. Under this method, deferred tax assets and liabilities are recognized for the expected future tax consequences of differences between the carrying amounts and the tax basis of assets and li</w:t>
      </w:r>
      <w:r>
        <w:rPr>
          <w:sz w:val="20"/>
          <w:szCs w:val="20"/>
        </w:rPr>
        <w:t>abilities using enacted tax rates in effect for the year in which the differences are expected to reverse.  The effect on deferred tax assets and liabilities of a change in tax rates is recognized in income in the period when the change is enacted.  A valu</w:t>
      </w:r>
      <w:r>
        <w:rPr>
          <w:sz w:val="20"/>
          <w:szCs w:val="20"/>
        </w:rPr>
        <w:t>ation allowance is recorded to reduce the carrying amounts of deferred tax assets when it is more likely than not that the full amount will not be realized.</w:t>
      </w:r>
    </w:p>
    <w:p w:rsidR="00000000" w:rsidRDefault="00827839">
      <w:pPr>
        <w:pStyle w:val="a3"/>
        <w:spacing w:before="240" w:beforeAutospacing="0" w:after="0" w:afterAutospacing="0"/>
        <w:jc w:val="both"/>
        <w:rPr>
          <w:b/>
          <w:bCs/>
          <w:sz w:val="20"/>
          <w:szCs w:val="20"/>
        </w:rPr>
      </w:pPr>
      <w:r>
        <w:rPr>
          <w:b/>
          <w:bCs/>
          <w:sz w:val="20"/>
          <w:szCs w:val="20"/>
        </w:rPr>
        <w:t>Loss Contingencies.</w:t>
      </w:r>
      <w:r>
        <w:rPr>
          <w:sz w:val="20"/>
          <w:szCs w:val="20"/>
        </w:rPr>
        <w:t>  In the normal course of business, the Partnership is involved in various claim</w:t>
      </w:r>
      <w:r>
        <w:rPr>
          <w:sz w:val="20"/>
          <w:szCs w:val="20"/>
        </w:rPr>
        <w:t>s and legal proceedings.  The Partnership records a liability for such matters when it is probable that a loss has been incurred and the amounts can be reasonably estimated.  The liability includes probable and estimable legal costs to the point in the leg</w:t>
      </w:r>
      <w:r>
        <w:rPr>
          <w:sz w:val="20"/>
          <w:szCs w:val="20"/>
        </w:rPr>
        <w:t>al matter where the Partnership believes a conclusion to the matter will be reached.  When only a range of possible loss can be established, the most probable amount in the range is accrued.  If no amount within this range is a better estimate than any oth</w:t>
      </w:r>
      <w:r>
        <w:rPr>
          <w:sz w:val="20"/>
          <w:szCs w:val="20"/>
        </w:rPr>
        <w:t>er amount within the range, the minimum amount in the range is accrued.</w:t>
      </w:r>
    </w:p>
    <w:p w:rsidR="00000000" w:rsidRDefault="00827839">
      <w:pPr>
        <w:pStyle w:val="a3"/>
        <w:spacing w:before="240" w:beforeAutospacing="0" w:after="0" w:afterAutospacing="0"/>
        <w:jc w:val="both"/>
        <w:rPr>
          <w:b/>
          <w:bCs/>
          <w:sz w:val="20"/>
          <w:szCs w:val="20"/>
        </w:rPr>
      </w:pPr>
      <w:r>
        <w:rPr>
          <w:b/>
          <w:bCs/>
          <w:sz w:val="20"/>
          <w:szCs w:val="20"/>
        </w:rPr>
        <w:t>Asset Retirement Obligations.</w:t>
      </w:r>
      <w:r>
        <w:rPr>
          <w:sz w:val="20"/>
          <w:szCs w:val="20"/>
        </w:rPr>
        <w:t>  Asset retirement obligations apply to legal obligations associated with the retirement of long-lived assets that result from the acquisition, constructio</w:t>
      </w:r>
      <w:r>
        <w:rPr>
          <w:sz w:val="20"/>
          <w:szCs w:val="20"/>
        </w:rPr>
        <w:t>n, development and/or the normal operation of a long-lived asset.  The Partnership has recognized asset retirement obligations for certain costs to remove and properly dispose of underground and aboveground fuel oil storage tanks and contractually mandated</w:t>
      </w:r>
      <w:r>
        <w:rPr>
          <w:sz w:val="20"/>
          <w:szCs w:val="20"/>
        </w:rPr>
        <w:t xml:space="preserve"> removal of leasehold improvements.</w:t>
      </w:r>
    </w:p>
    <w:p w:rsidR="00000000" w:rsidRDefault="00827839">
      <w:pPr>
        <w:pStyle w:val="a3"/>
        <w:spacing w:before="240" w:beforeAutospacing="0" w:after="0" w:afterAutospacing="0"/>
        <w:jc w:val="both"/>
        <w:rPr>
          <w:sz w:val="20"/>
          <w:szCs w:val="20"/>
        </w:rPr>
      </w:pPr>
      <w:r>
        <w:rPr>
          <w:sz w:val="20"/>
          <w:szCs w:val="20"/>
        </w:rPr>
        <w:t>The Partnership records a liability at fair value for the estimated cost to settle an asset retirement obligation at the time that liability is incurred, which is generally when the asset is purchased, constructed or lea</w:t>
      </w:r>
      <w:r>
        <w:rPr>
          <w:sz w:val="20"/>
          <w:szCs w:val="20"/>
        </w:rPr>
        <w:t>sed. The Partnership records the liability, which is referred to as the asset retirement obligation, when it has a legal obligation to incur costs to retire the asset and when a reasonable estimate of the fair value of the liability can be made.  If a reas</w:t>
      </w:r>
      <w:r>
        <w:rPr>
          <w:sz w:val="20"/>
          <w:szCs w:val="20"/>
        </w:rPr>
        <w:t>onable estimate cannot be made at the time the liability is incurred, the Partnership records the liability when sufficient information is available to estimate the liability’s fair value.</w:t>
      </w:r>
    </w:p>
    <w:p w:rsidR="00000000" w:rsidRDefault="00827839">
      <w:pPr>
        <w:pStyle w:val="a3"/>
        <w:spacing w:before="240" w:beforeAutospacing="0" w:after="0" w:afterAutospacing="0"/>
        <w:jc w:val="both"/>
        <w:rPr>
          <w:b/>
          <w:bCs/>
          <w:sz w:val="20"/>
          <w:szCs w:val="20"/>
        </w:rPr>
      </w:pPr>
      <w:r>
        <w:rPr>
          <w:b/>
          <w:bCs/>
          <w:sz w:val="20"/>
          <w:szCs w:val="20"/>
        </w:rPr>
        <w:t>Unit-Based Compensation.</w:t>
      </w:r>
      <w:r>
        <w:rPr>
          <w:sz w:val="20"/>
          <w:szCs w:val="20"/>
        </w:rPr>
        <w:t>  The Partnership recognizes compensation c</w:t>
      </w:r>
      <w:r>
        <w:rPr>
          <w:sz w:val="20"/>
          <w:szCs w:val="20"/>
        </w:rPr>
        <w:t xml:space="preserve">ost over the respective service period for employee services received in exchange for an award of equity or equity-based compensation based on the grant date fair value of the award.  The Partnership measures liability awards under an equity-based payment </w:t>
      </w:r>
      <w:r>
        <w:rPr>
          <w:sz w:val="20"/>
          <w:szCs w:val="20"/>
        </w:rPr>
        <w:t>arrangement based on remeasurement of the award’s fair value at the conclusion of each interim and annual reporting period until the date of settlement, taking into consideration the probability that the performance conditions will be satisfied.</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F-13</w:t>
      </w:r>
    </w:p>
    <w:p w:rsidR="00000000" w:rsidRDefault="00827839">
      <w:pPr>
        <w:rPr>
          <w:rFonts w:eastAsia="Times New Roman"/>
        </w:rPr>
      </w:pPr>
      <w:r>
        <w:rPr>
          <w:rFonts w:eastAsia="Times New Roman"/>
        </w:rPr>
        <w:pict>
          <v:rect id="_x0000_i1128"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b/>
          <w:bCs/>
          <w:sz w:val="20"/>
          <w:szCs w:val="20"/>
        </w:rPr>
        <w:t>Costs and Expenses.</w:t>
      </w:r>
      <w:r>
        <w:rPr>
          <w:sz w:val="20"/>
          <w:szCs w:val="20"/>
        </w:rPr>
        <w:t>  The cost of products sold reported in the consolidated statements of operations represents the weighted average unit cost of propane, fuel oil and refined fuels, as well as the cost of natural gas an</w:t>
      </w:r>
      <w:r>
        <w:rPr>
          <w:sz w:val="20"/>
          <w:szCs w:val="20"/>
        </w:rPr>
        <w:t>d electricity sold, including transportation costs to deliver product from the Partnership’s supply points to storage or to the Partnership’s customer service centers.  Cost of products sold also includes the cost of appliances, equipment and related parts</w:t>
      </w:r>
      <w:r>
        <w:rPr>
          <w:sz w:val="20"/>
          <w:szCs w:val="20"/>
        </w:rPr>
        <w:t xml:space="preserve"> sold or installed by the Partnership’s customer service centers computed on a basis that approximates the average cost of the products.  Unrealized (non-cash) gains or losses from changes in the fair value of commodity derivative instruments that are not </w:t>
      </w:r>
      <w:r>
        <w:rPr>
          <w:sz w:val="20"/>
          <w:szCs w:val="20"/>
        </w:rPr>
        <w:t xml:space="preserve">designated as cash flow hedges are recorded in each reporting period within cost of products sold.  Cost of products sold is reported exclusive of any depreciation and amortization as such amounts are reported separately within the consolidated statements </w:t>
      </w:r>
      <w:r>
        <w:rPr>
          <w:sz w:val="20"/>
          <w:szCs w:val="20"/>
        </w:rPr>
        <w:t>of operations.</w:t>
      </w:r>
    </w:p>
    <w:p w:rsidR="00000000" w:rsidRDefault="00827839">
      <w:pPr>
        <w:pStyle w:val="a3"/>
        <w:spacing w:before="240" w:beforeAutospacing="0" w:after="0" w:afterAutospacing="0"/>
        <w:jc w:val="both"/>
        <w:rPr>
          <w:sz w:val="20"/>
          <w:szCs w:val="20"/>
        </w:rPr>
      </w:pPr>
      <w:r>
        <w:rPr>
          <w:sz w:val="20"/>
          <w:szCs w:val="20"/>
        </w:rPr>
        <w:t>All other costs of operating the Partnership’s retail propane, fuel oil and refined fuels distribution and appliance sales and service operations, as well as the natural gas and electricity marketing business, are reported within operating e</w:t>
      </w:r>
      <w:r>
        <w:rPr>
          <w:sz w:val="20"/>
          <w:szCs w:val="20"/>
        </w:rPr>
        <w:t>xpenses in the consolidated statements of operations.  These operating expenses include the compensation and benefits of field and direct operating support personnel, costs of operating and maintaining the vehicle fleet, overhead and other costs of the pur</w:t>
      </w:r>
      <w:r>
        <w:rPr>
          <w:sz w:val="20"/>
          <w:szCs w:val="20"/>
        </w:rPr>
        <w:t>chasing, training and safety departments and other direct and indirect costs of operating the Partnership’s customer service centers.</w:t>
      </w:r>
    </w:p>
    <w:p w:rsidR="00000000" w:rsidRDefault="00827839">
      <w:pPr>
        <w:pStyle w:val="a3"/>
        <w:spacing w:before="240" w:beforeAutospacing="0" w:after="0" w:afterAutospacing="0"/>
        <w:jc w:val="both"/>
        <w:rPr>
          <w:sz w:val="20"/>
          <w:szCs w:val="20"/>
        </w:rPr>
      </w:pPr>
      <w:r>
        <w:rPr>
          <w:sz w:val="20"/>
          <w:szCs w:val="20"/>
        </w:rPr>
        <w:t>All costs of back office support functions, including compensation and benefits for executives and other support functions</w:t>
      </w:r>
      <w:r>
        <w:rPr>
          <w:sz w:val="20"/>
          <w:szCs w:val="20"/>
        </w:rPr>
        <w:t>, as well as other costs and expenses to maintain finance and accounting, treasury, legal, human resources, corporate development and the information systems functions are reported within general and administrative expenses in the consolidated statements o</w:t>
      </w:r>
      <w:r>
        <w:rPr>
          <w:sz w:val="20"/>
          <w:szCs w:val="20"/>
        </w:rPr>
        <w:t>f operations.</w:t>
      </w:r>
    </w:p>
    <w:p w:rsidR="00000000" w:rsidRDefault="00827839">
      <w:pPr>
        <w:pStyle w:val="a3"/>
        <w:spacing w:before="240" w:beforeAutospacing="0" w:after="0" w:afterAutospacing="0"/>
        <w:jc w:val="both"/>
        <w:rPr>
          <w:b/>
          <w:bCs/>
          <w:sz w:val="20"/>
          <w:szCs w:val="20"/>
        </w:rPr>
      </w:pPr>
      <w:r>
        <w:rPr>
          <w:b/>
          <w:bCs/>
          <w:sz w:val="20"/>
          <w:szCs w:val="20"/>
        </w:rPr>
        <w:t>Net Income Per Unit.</w:t>
      </w:r>
      <w:r>
        <w:rPr>
          <w:sz w:val="20"/>
          <w:szCs w:val="20"/>
        </w:rPr>
        <w:t>  Computations of basic income per Common Unit are performed by dividing net income by the weighted average number of outstanding Common Units, and vested (and unissued) restricted units granted under the Partnership’s Res</w:t>
      </w:r>
      <w:r>
        <w:rPr>
          <w:sz w:val="20"/>
          <w:szCs w:val="20"/>
        </w:rPr>
        <w:t>tricted Unit Plan, as defined below, to retirement-eligible grantees.  Computations of diluted income per Common Unit are performed by dividing net income by the weighted average number of outstanding Common Units and unissued restricted units granted unde</w:t>
      </w:r>
      <w:r>
        <w:rPr>
          <w:sz w:val="20"/>
          <w:szCs w:val="20"/>
        </w:rPr>
        <w:t>r the Restricted Unit Plan.  In computing diluted net income per Common Unit, weighted average units outstanding used to compute basic net income per Common Unit were increased by 373,370, 290,020 and 317,632 units for fiscal 2019, 2018 and 2017, respectiv</w:t>
      </w:r>
      <w:r>
        <w:rPr>
          <w:sz w:val="20"/>
          <w:szCs w:val="20"/>
        </w:rPr>
        <w:t>ely, to reflect the potential dilutive effect of the unvested restricted units outstanding using the treasury stock method.</w:t>
      </w:r>
    </w:p>
    <w:p w:rsidR="00000000" w:rsidRDefault="00827839">
      <w:pPr>
        <w:pStyle w:val="a3"/>
        <w:spacing w:before="240" w:beforeAutospacing="0" w:after="0" w:afterAutospacing="0"/>
        <w:jc w:val="both"/>
        <w:rPr>
          <w:b/>
          <w:bCs/>
          <w:sz w:val="20"/>
          <w:szCs w:val="20"/>
        </w:rPr>
      </w:pPr>
      <w:r>
        <w:rPr>
          <w:b/>
          <w:bCs/>
          <w:sz w:val="20"/>
          <w:szCs w:val="20"/>
        </w:rPr>
        <w:t>Comprehensive Income.</w:t>
      </w:r>
      <w:r>
        <w:rPr>
          <w:sz w:val="20"/>
          <w:szCs w:val="20"/>
        </w:rPr>
        <w:t>  The Partnership reports comprehensive income (the total of net income and all other non-owner changes in part</w:t>
      </w:r>
      <w:r>
        <w:rPr>
          <w:sz w:val="20"/>
          <w:szCs w:val="20"/>
        </w:rPr>
        <w:t>ners’ capital) within the consolidated statement of comprehensive income.  Other comprehensive income includes unrealized gains and losses on derivative instruments accounted for as cash flow hedges and reclassifications of realized losses on cash flow hed</w:t>
      </w:r>
      <w:r>
        <w:rPr>
          <w:sz w:val="20"/>
          <w:szCs w:val="20"/>
        </w:rPr>
        <w:t>ges into earnings, amortization of net actuarial losses and prior service credits into earnings and changes in the funded status of pension and other postretirement benefit plans, and net actuarial losses recognized in earnings associated with pension sett</w:t>
      </w:r>
      <w:r>
        <w:rPr>
          <w:sz w:val="20"/>
          <w:szCs w:val="20"/>
        </w:rPr>
        <w:t>lements.</w:t>
      </w:r>
    </w:p>
    <w:p w:rsidR="00000000" w:rsidRDefault="00827839">
      <w:pPr>
        <w:pStyle w:val="a3"/>
        <w:spacing w:before="240" w:beforeAutospacing="0" w:after="0" w:afterAutospacing="0"/>
        <w:jc w:val="both"/>
        <w:rPr>
          <w:b/>
          <w:bCs/>
          <w:sz w:val="20"/>
          <w:szCs w:val="20"/>
        </w:rPr>
      </w:pPr>
      <w:r>
        <w:rPr>
          <w:b/>
          <w:bCs/>
          <w:sz w:val="20"/>
          <w:szCs w:val="20"/>
        </w:rPr>
        <w:t>Reclassifications.</w:t>
      </w:r>
      <w:r>
        <w:rPr>
          <w:sz w:val="20"/>
          <w:szCs w:val="20"/>
        </w:rPr>
        <w:t>  Certain prior period amounts have been reclassified to conform to the current period presentation.  See Recently Adopted Accounting Pronouncements, below.</w:t>
      </w:r>
    </w:p>
    <w:p w:rsidR="00000000" w:rsidRDefault="00827839">
      <w:pPr>
        <w:pStyle w:val="a3"/>
        <w:spacing w:before="240" w:beforeAutospacing="0" w:after="0" w:afterAutospacing="0"/>
        <w:jc w:val="both"/>
        <w:rPr>
          <w:b/>
          <w:bCs/>
          <w:sz w:val="20"/>
          <w:szCs w:val="20"/>
        </w:rPr>
      </w:pPr>
      <w:r>
        <w:rPr>
          <w:b/>
          <w:bCs/>
          <w:sz w:val="20"/>
          <w:szCs w:val="20"/>
        </w:rPr>
        <w:t>Recently Issued Accounting Pronouncements.</w:t>
      </w:r>
      <w:r>
        <w:rPr>
          <w:sz w:val="20"/>
          <w:szCs w:val="20"/>
        </w:rPr>
        <w:t>  </w:t>
      </w:r>
      <w:r>
        <w:rPr>
          <w:color w:val="000000"/>
          <w:sz w:val="20"/>
          <w:szCs w:val="20"/>
        </w:rPr>
        <w:t>In January 2017, the FASB is</w:t>
      </w:r>
      <w:r>
        <w:rPr>
          <w:color w:val="000000"/>
          <w:sz w:val="20"/>
          <w:szCs w:val="20"/>
        </w:rPr>
        <w:t>sued ASU 2017-04, “Simplifying the Test for Goodwill Impairment” (“ASU 2017-04”).  This update eliminates the requirement to perform a hypothetical purchase price allocation to measure goodwill impairment.  In testing goodwill for impairment, an entity may</w:t>
      </w:r>
      <w:r>
        <w:rPr>
          <w:color w:val="000000"/>
          <w:sz w:val="20"/>
          <w:szCs w:val="20"/>
        </w:rPr>
        <w:t xml:space="preserve"> elect to utilize a qualitative assessment to evaluate whether it is more likely than not that the fair value of a reporting unit is less than its carrying amount.  If the qualitative assessment indicates that goodwill impairment is more likely than not, a</w:t>
      </w:r>
      <w:r>
        <w:rPr>
          <w:color w:val="000000"/>
          <w:sz w:val="20"/>
          <w:szCs w:val="20"/>
        </w:rPr>
        <w:t>n entity should perform its annual or interim goodwill impairment test by comparing the fair value of a reporting unit to its carrying amount and recognize an impairment charge for the amount by which the carrying amount exceeds the reporting unit's fair v</w:t>
      </w:r>
      <w:r>
        <w:rPr>
          <w:color w:val="000000"/>
          <w:sz w:val="20"/>
          <w:szCs w:val="20"/>
        </w:rPr>
        <w:t>alue, not to exceed the total amount of goodwill allocated to the reporting unit.  ASU 2017-04 is effective for the first interim period within annual reporting periods beginning after December 15, 2019, which will be the Partnership’s first quarter of fis</w:t>
      </w:r>
      <w:r>
        <w:rPr>
          <w:color w:val="000000"/>
          <w:sz w:val="20"/>
          <w:szCs w:val="20"/>
        </w:rPr>
        <w:t>cal 2021.  Early adoption of ASU 2017-04 is permitted.  The Partnership does not expect the adoption of ASU 2017-04 will have a material impact on the Partnership’s consolidated financial statements.</w:t>
      </w:r>
      <w:r>
        <w:rPr>
          <w:color w:val="000000"/>
          <w:sz w:val="20"/>
          <w:szCs w:val="20"/>
          <w:shd w:val="clear" w:color="auto" w:fill="FFFFFF"/>
        </w:rPr>
        <w:t xml:space="preserve"> </w:t>
      </w:r>
    </w:p>
    <w:p w:rsidR="00000000" w:rsidRDefault="00827839">
      <w:pPr>
        <w:pStyle w:val="a3"/>
        <w:spacing w:before="240" w:beforeAutospacing="0" w:after="0" w:afterAutospacing="0"/>
        <w:jc w:val="both"/>
        <w:rPr>
          <w:color w:val="000000"/>
          <w:sz w:val="20"/>
          <w:szCs w:val="20"/>
        </w:rPr>
      </w:pPr>
      <w:r>
        <w:rPr>
          <w:color w:val="000000"/>
          <w:sz w:val="20"/>
          <w:szCs w:val="20"/>
        </w:rPr>
        <w:t>In February 2016, the FASB issued ASU 2016-02, “Leases”</w:t>
      </w:r>
      <w:r>
        <w:rPr>
          <w:color w:val="000000"/>
          <w:sz w:val="20"/>
          <w:szCs w:val="20"/>
        </w:rPr>
        <w:t xml:space="preserve"> (“ASU 2016-02”). The standard amends the existing accounting standards for lease accounting, including requiring lessees to recognize most leases on their balance sheets and making targeted changes to lessor accounting. ASU 2016-02 is effective for the fi</w:t>
      </w:r>
      <w:r>
        <w:rPr>
          <w:color w:val="000000"/>
          <w:sz w:val="20"/>
          <w:szCs w:val="20"/>
        </w:rPr>
        <w:t>rst interim period within annual reporting periods beginning after December 15, 2018, which is the Partnership’s first quarter of fiscal 2020. The new leases standard requires a modified retrospective transition approach for all leases existing at, or ente</w:t>
      </w:r>
      <w:r>
        <w:rPr>
          <w:color w:val="000000"/>
          <w:sz w:val="20"/>
          <w:szCs w:val="20"/>
        </w:rPr>
        <w:t>red into after, the date of initial application.  The Partnership evaluated the impact of adopting ASU 2016-02 and determined that all existing leases as of September 29, 2019, which is the date of adoption and the beginning of fiscal 2020, will be classif</w:t>
      </w:r>
      <w:r>
        <w:rPr>
          <w:color w:val="000000"/>
          <w:sz w:val="20"/>
          <w:szCs w:val="20"/>
        </w:rPr>
        <w:t>ied as operating leases, and estimates recording a right-of-use asset and corresponding lease liability on the consolidated balance sheet of approximately $100 million to $110 million on the adoption date.  The Partnership does not expect the adoption of A</w:t>
      </w:r>
      <w:r>
        <w:rPr>
          <w:color w:val="000000"/>
          <w:sz w:val="20"/>
          <w:szCs w:val="20"/>
        </w:rPr>
        <w:t>SU 2016-02 will have an impact on the Partnership’s other consolidated financial statements or on its debt covenant compliance.</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F-14</w:t>
      </w:r>
    </w:p>
    <w:p w:rsidR="00000000" w:rsidRDefault="00827839">
      <w:pPr>
        <w:rPr>
          <w:rFonts w:eastAsia="Times New Roman"/>
        </w:rPr>
      </w:pPr>
      <w:r>
        <w:rPr>
          <w:rFonts w:eastAsia="Times New Roman"/>
        </w:rPr>
        <w:pict>
          <v:rect id="_x0000_i1129"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b/>
          <w:bCs/>
          <w:sz w:val="20"/>
          <w:szCs w:val="20"/>
        </w:rPr>
        <w:t>Recently Adopted Accounting Pronouncements.</w:t>
      </w:r>
      <w:r>
        <w:rPr>
          <w:sz w:val="20"/>
          <w:szCs w:val="20"/>
        </w:rPr>
        <w:t>  </w:t>
      </w:r>
      <w:r>
        <w:rPr>
          <w:color w:val="000000"/>
          <w:sz w:val="20"/>
          <w:szCs w:val="20"/>
        </w:rPr>
        <w:t xml:space="preserve"> </w:t>
      </w:r>
      <w:r>
        <w:rPr>
          <w:sz w:val="20"/>
          <w:szCs w:val="20"/>
        </w:rPr>
        <w:t>During the first quarter of fiscal 2019, the Partnership adopted new accounting guidance under ASU 2017-07, “Improving the Presentation of Net Periodic Pension Cost and Net Periodic Postretirement Benefit Cost”</w:t>
      </w:r>
      <w:r>
        <w:rPr>
          <w:sz w:val="20"/>
          <w:szCs w:val="20"/>
        </w:rPr>
        <w:t xml:space="preserve"> (“ASU 2017-07”), which has been applied retrospectively.  This update required separate disclosure below operating income on the face of the consolidated statements of operations for certain components of net periodic pension cost and net periodic postret</w:t>
      </w:r>
      <w:r>
        <w:rPr>
          <w:sz w:val="20"/>
          <w:szCs w:val="20"/>
        </w:rPr>
        <w:t xml:space="preserve">irement cost. </w:t>
      </w:r>
      <w:r>
        <w:rPr>
          <w:color w:val="000000"/>
          <w:sz w:val="20"/>
          <w:szCs w:val="20"/>
        </w:rPr>
        <w:t>The adoption of this standard had no material impact on the Partnership’s consolidated financial statements other than to classify certain components of net periodic benefit costs on the consolidated statements of operations from operating ex</w:t>
      </w:r>
      <w:r>
        <w:rPr>
          <w:color w:val="000000"/>
          <w:sz w:val="20"/>
          <w:szCs w:val="20"/>
        </w:rPr>
        <w:t>penses to other, net.  </w:t>
      </w:r>
      <w:r>
        <w:rPr>
          <w:sz w:val="20"/>
          <w:szCs w:val="20"/>
        </w:rPr>
        <w:t>Refer to Note 11, “Employee Benefit Plans”.</w:t>
      </w:r>
    </w:p>
    <w:p w:rsidR="00000000" w:rsidRDefault="00827839">
      <w:pPr>
        <w:pStyle w:val="a3"/>
        <w:spacing w:before="240" w:beforeAutospacing="0" w:after="0" w:afterAutospacing="0"/>
        <w:jc w:val="both"/>
        <w:rPr>
          <w:color w:val="000000"/>
          <w:sz w:val="20"/>
          <w:szCs w:val="20"/>
        </w:rPr>
      </w:pPr>
      <w:r>
        <w:rPr>
          <w:color w:val="000000"/>
          <w:sz w:val="20"/>
          <w:szCs w:val="20"/>
        </w:rPr>
        <w:t>In August 2016, the FASB issued ASU 2016-15, “Classification of Certain Cash Receipts and Cash Payments” (“ASU 2016-15”).  This update addresses eight specific cash flow issues and is inten</w:t>
      </w:r>
      <w:r>
        <w:rPr>
          <w:color w:val="000000"/>
          <w:sz w:val="20"/>
          <w:szCs w:val="20"/>
        </w:rPr>
        <w:t>ded to reduce diversity in practice on how certain cash receipts and cash payments are presented and classified in the statement of cash flows.  The adoption of this standard had no material impact on the Partnership’s consolidated statements of cash flows</w:t>
      </w:r>
      <w:r>
        <w:rPr>
          <w:color w:val="000000"/>
          <w:sz w:val="20"/>
          <w:szCs w:val="20"/>
        </w:rPr>
        <w:t xml:space="preserve">. </w:t>
      </w:r>
    </w:p>
    <w:p w:rsidR="00000000" w:rsidRDefault="00827839">
      <w:pPr>
        <w:pStyle w:val="a3"/>
        <w:spacing w:before="240" w:beforeAutospacing="0" w:after="0" w:afterAutospacing="0"/>
        <w:jc w:val="both"/>
        <w:rPr>
          <w:color w:val="000000"/>
          <w:sz w:val="20"/>
          <w:szCs w:val="20"/>
        </w:rPr>
      </w:pPr>
      <w:r>
        <w:rPr>
          <w:color w:val="000000"/>
          <w:sz w:val="20"/>
          <w:szCs w:val="20"/>
        </w:rPr>
        <w:t xml:space="preserve">See also Revenue Recognition, above. </w:t>
      </w:r>
    </w:p>
    <w:p w:rsidR="00000000" w:rsidRDefault="00827839">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59349843"/>
        </w:trPr>
        <w:tc>
          <w:tcPr>
            <w:tcW w:w="227" w:type="pct"/>
            <w:noWrap/>
            <w:hideMark/>
          </w:tcPr>
          <w:p w:rsidR="00000000" w:rsidRDefault="00827839">
            <w:pPr>
              <w:pStyle w:val="a3"/>
              <w:spacing w:before="180" w:beforeAutospacing="0" w:after="0" w:afterAutospacing="0"/>
              <w:jc w:val="both"/>
              <w:rPr>
                <w:b/>
                <w:bCs/>
                <w:sz w:val="20"/>
                <w:szCs w:val="20"/>
              </w:rPr>
            </w:pPr>
            <w:r>
              <w:rPr>
                <w:b/>
                <w:bCs/>
                <w:sz w:val="20"/>
                <w:szCs w:val="20"/>
              </w:rPr>
              <w:t>3.</w:t>
            </w:r>
          </w:p>
        </w:tc>
        <w:tc>
          <w:tcPr>
            <w:tcW w:w="0" w:type="auto"/>
            <w:hideMark/>
          </w:tcPr>
          <w:p w:rsidR="00000000" w:rsidRDefault="00827839">
            <w:pPr>
              <w:pStyle w:val="a3"/>
              <w:spacing w:before="180" w:beforeAutospacing="0" w:after="0" w:afterAutospacing="0"/>
              <w:jc w:val="both"/>
              <w:rPr>
                <w:b/>
                <w:bCs/>
                <w:sz w:val="20"/>
                <w:szCs w:val="20"/>
              </w:rPr>
            </w:pPr>
            <w:r>
              <w:rPr>
                <w:b/>
                <w:bCs/>
                <w:sz w:val="20"/>
                <w:szCs w:val="20"/>
              </w:rPr>
              <w:t>Disaggregation of Revenue</w:t>
            </w:r>
          </w:p>
        </w:tc>
      </w:tr>
    </w:tbl>
    <w:p w:rsidR="00000000" w:rsidRDefault="00827839">
      <w:pPr>
        <w:pStyle w:val="a3"/>
        <w:spacing w:before="120" w:beforeAutospacing="0" w:after="0" w:afterAutospacing="0"/>
        <w:jc w:val="both"/>
        <w:rPr>
          <w:sz w:val="20"/>
          <w:szCs w:val="20"/>
        </w:rPr>
      </w:pPr>
      <w:r>
        <w:rPr>
          <w:sz w:val="20"/>
          <w:szCs w:val="20"/>
        </w:rPr>
        <w:t>The following table disaggregates revenue for each customer type.  See Note 16 for more information on segment reporting wherein it is disclosed that the Partnership’s Propane, Fuel O</w:t>
      </w:r>
      <w:r>
        <w:rPr>
          <w:sz w:val="20"/>
          <w:szCs w:val="20"/>
        </w:rPr>
        <w:t>il and Refined Fuels and Natural Gas and Electricity reportable segments generated approximately 85%, 7% and 4%, respectively, of the Partnership’s revenue for all periods presented.  The propane segment contributes the majority of the Partnership’s revenu</w:t>
      </w:r>
      <w:r>
        <w:rPr>
          <w:sz w:val="20"/>
          <w:szCs w:val="20"/>
        </w:rPr>
        <w:t>e and the concentration of revenue by customer type for the propane segment is not materially different from the consolidated revenue.</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356"/>
        <w:gridCol w:w="115"/>
        <w:gridCol w:w="1156"/>
        <w:gridCol w:w="65"/>
        <w:gridCol w:w="138"/>
        <w:gridCol w:w="115"/>
        <w:gridCol w:w="1157"/>
        <w:gridCol w:w="65"/>
        <w:gridCol w:w="138"/>
        <w:gridCol w:w="115"/>
        <w:gridCol w:w="1160"/>
        <w:gridCol w:w="65"/>
      </w:tblGrid>
      <w:tr w:rsidR="00000000">
        <w:trPr>
          <w:divId w:val="1995379278"/>
        </w:trPr>
        <w:tc>
          <w:tcPr>
            <w:tcW w:w="17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3162"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95379278"/>
        </w:trPr>
        <w:tc>
          <w:tcPr>
            <w:tcW w:w="17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93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93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93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95379278"/>
        </w:trPr>
        <w:tc>
          <w:tcPr>
            <w:tcW w:w="17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93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93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93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95379278"/>
        </w:trPr>
        <w:tc>
          <w:tcPr>
            <w:tcW w:w="17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95379278"/>
        </w:trPr>
        <w:tc>
          <w:tcPr>
            <w:tcW w:w="17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731,468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759,468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669,724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95379278"/>
        </w:trPr>
        <w:tc>
          <w:tcPr>
            <w:tcW w:w="17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333,078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354,493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306,958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95379278"/>
        </w:trPr>
        <w:tc>
          <w:tcPr>
            <w:tcW w:w="17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104,992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109,740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97,742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95379278"/>
        </w:trPr>
        <w:tc>
          <w:tcPr>
            <w:tcW w:w="17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39,937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44,581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95379278"/>
        </w:trPr>
        <w:tc>
          <w:tcPr>
            <w:tcW w:w="17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53,764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56,598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47,025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95379278"/>
        </w:trPr>
        <w:tc>
          <w:tcPr>
            <w:tcW w:w="178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4,466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19,533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29,805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95379278"/>
        </w:trPr>
        <w:tc>
          <w:tcPr>
            <w:tcW w:w="178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1,267,705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1,344,413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1,187,886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 xml:space="preserve">The </w:t>
      </w:r>
      <w:r>
        <w:rPr>
          <w:color w:val="000000"/>
          <w:sz w:val="20"/>
          <w:szCs w:val="20"/>
        </w:rPr>
        <w:t xml:space="preserve">Partnership recognized $66,697, $61,384 and $73,093 </w:t>
      </w:r>
      <w:r>
        <w:rPr>
          <w:color w:val="000000"/>
          <w:sz w:val="20"/>
          <w:szCs w:val="20"/>
        </w:rPr>
        <w:t>of revenue during fiscal 2019, fiscal 2018 and fiscal 2017, respectively, for annually billed tank rent, maintenance service contracts, fixed price contracts and budgetary programs where customer consideration was received at the start of the contract peri</w:t>
      </w:r>
      <w:r>
        <w:rPr>
          <w:color w:val="000000"/>
          <w:sz w:val="20"/>
          <w:szCs w:val="20"/>
        </w:rPr>
        <w:t>od and which was included in contract liabilities as of the beginning of each respective period.  Contract assets of $7,051 and $9,606 relating to deliveries to customers enrolled in budgetary programs that exceeded billings to those customers were include</w:t>
      </w:r>
      <w:r>
        <w:rPr>
          <w:color w:val="000000"/>
          <w:sz w:val="20"/>
          <w:szCs w:val="20"/>
        </w:rPr>
        <w:t>d in accounts receivable as of September 28, 2019 and September 29, 2018, respectively</w:t>
      </w:r>
      <w:r>
        <w:rPr>
          <w:sz w:val="20"/>
          <w:szCs w:val="20"/>
        </w:rPr>
        <w:t xml:space="preserve">. </w:t>
      </w:r>
    </w:p>
    <w:p w:rsidR="00000000" w:rsidRDefault="00827839">
      <w:pPr>
        <w:pStyle w:val="a3"/>
        <w:spacing w:before="40" w:beforeAutospacing="0" w:after="0" w:afterAutospacing="0"/>
        <w:jc w:val="both"/>
        <w:rPr>
          <w:sz w:val="20"/>
          <w:szCs w:val="20"/>
        </w:rPr>
      </w:pPr>
      <w:r>
        <w:rPr>
          <w:sz w:val="20"/>
          <w:szCs w:val="20"/>
        </w:rPr>
        <w:t> </w:t>
      </w:r>
    </w:p>
    <w:p w:rsidR="00000000" w:rsidRDefault="00827839">
      <w:pPr>
        <w:pStyle w:val="a3"/>
        <w:spacing w:before="160" w:beforeAutospacing="0" w:after="0" w:afterAutospacing="0"/>
        <w:jc w:val="both"/>
        <w:rPr>
          <w:b/>
          <w:bCs/>
          <w:sz w:val="20"/>
          <w:szCs w:val="20"/>
        </w:rPr>
      </w:pPr>
      <w:r>
        <w:rPr>
          <w:b/>
          <w:bCs/>
          <w:sz w:val="20"/>
          <w:szCs w:val="20"/>
        </w:rPr>
        <w:t>4.Acquisition and Disposition of Businesses</w:t>
      </w:r>
    </w:p>
    <w:p w:rsidR="00000000" w:rsidRDefault="00827839">
      <w:pPr>
        <w:pStyle w:val="a3"/>
        <w:spacing w:before="120" w:beforeAutospacing="0" w:after="0" w:afterAutospacing="0"/>
        <w:jc w:val="both"/>
        <w:rPr>
          <w:sz w:val="20"/>
          <w:szCs w:val="20"/>
        </w:rPr>
      </w:pPr>
      <w:r>
        <w:rPr>
          <w:sz w:val="20"/>
          <w:szCs w:val="20"/>
        </w:rPr>
        <w:t xml:space="preserve">The acquisitions listed below were consummated pursuant to the Partnership’s strategic growth initiatives.  The preliminary purchase price allocations and results of operations of the acquired businesses were not material to the Partnership’s consolidated </w:t>
      </w:r>
      <w:r>
        <w:rPr>
          <w:sz w:val="20"/>
          <w:szCs w:val="20"/>
        </w:rPr>
        <w:t>financial position and statement of operations.</w:t>
      </w:r>
    </w:p>
    <w:p w:rsidR="00000000" w:rsidRDefault="00827839">
      <w:pPr>
        <w:pStyle w:val="a3"/>
        <w:spacing w:before="240" w:beforeAutospacing="0" w:after="0" w:afterAutospacing="0"/>
        <w:jc w:val="both"/>
        <w:rPr>
          <w:color w:val="000000"/>
          <w:sz w:val="20"/>
          <w:szCs w:val="20"/>
        </w:rPr>
      </w:pPr>
      <w:r>
        <w:rPr>
          <w:color w:val="000000"/>
          <w:sz w:val="20"/>
          <w:szCs w:val="20"/>
        </w:rPr>
        <w:t>On June 26, 2019, the Operating Partnership acquired the propane assets and operations of a propane retailer headquartered in Texas for $8,000, including $650 for non-compete consideration, plus working capit</w:t>
      </w:r>
      <w:r>
        <w:rPr>
          <w:color w:val="000000"/>
          <w:sz w:val="20"/>
          <w:szCs w:val="20"/>
        </w:rPr>
        <w:t>al acquired.  Of the total consideration, $5,509 was paid in cash and $1,600 in Common Units were issued to the seller at closing, and the remainder of the purchase price will be funded in accordance with the terms of the asset purchase and non-compete agr</w:t>
      </w:r>
      <w:r>
        <w:rPr>
          <w:color w:val="000000"/>
          <w:sz w:val="20"/>
          <w:szCs w:val="20"/>
        </w:rPr>
        <w:t>eements.  </w:t>
      </w:r>
    </w:p>
    <w:p w:rsidR="00000000" w:rsidRDefault="00827839">
      <w:pPr>
        <w:pStyle w:val="a3"/>
        <w:spacing w:before="240" w:beforeAutospacing="0" w:after="0" w:afterAutospacing="0"/>
        <w:jc w:val="both"/>
        <w:rPr>
          <w:color w:val="000000"/>
          <w:sz w:val="20"/>
          <w:szCs w:val="20"/>
        </w:rPr>
      </w:pPr>
      <w:r>
        <w:rPr>
          <w:color w:val="000000"/>
          <w:sz w:val="20"/>
          <w:szCs w:val="20"/>
        </w:rPr>
        <w:t>On June 12, 2019, the Operating Partnership acquired the propane assets and operations of a propane retailer headquartered in Florida for $2,850, including $450 for non-compete consideration, plus working capital acquired.  As of September 28, 2</w:t>
      </w:r>
      <w:r>
        <w:rPr>
          <w:color w:val="000000"/>
          <w:sz w:val="20"/>
          <w:szCs w:val="20"/>
        </w:rPr>
        <w:t>019, $2,426 was paid and the remainder of the purchase price will be funded in accordance with the terms of the asset purchase and non-compete agreements.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F-15</w:t>
      </w:r>
    </w:p>
    <w:p w:rsidR="00000000" w:rsidRDefault="00827839">
      <w:pPr>
        <w:rPr>
          <w:rFonts w:eastAsia="Times New Roman"/>
        </w:rPr>
      </w:pPr>
      <w:r>
        <w:rPr>
          <w:rFonts w:eastAsia="Times New Roman"/>
        </w:rPr>
        <w:pict>
          <v:rect id="_x0000_i1130"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sz w:val="20"/>
          <w:szCs w:val="20"/>
        </w:rPr>
      </w:pPr>
      <w:r>
        <w:rPr>
          <w:sz w:val="20"/>
          <w:szCs w:val="20"/>
        </w:rPr>
        <w:t xml:space="preserve">On February 6, 2019, the Operating Partnership acquired </w:t>
      </w:r>
      <w:r>
        <w:rPr>
          <w:sz w:val="20"/>
          <w:szCs w:val="20"/>
        </w:rPr>
        <w:t>the propane assets and operations of a propane retailer operating in strategic markets on the west coast for $12,000, including $800 for non-compete consideration, plus working capital acquired.  As of September 28, 2019, $11,365 was paid and the remainder</w:t>
      </w:r>
      <w:r>
        <w:rPr>
          <w:sz w:val="20"/>
          <w:szCs w:val="20"/>
        </w:rPr>
        <w:t xml:space="preserve"> of the purchase price will be funded in accordance with the terms of the asset purchase and non-compete agreements. </w:t>
      </w:r>
    </w:p>
    <w:p w:rsidR="00000000" w:rsidRDefault="00827839">
      <w:pPr>
        <w:pStyle w:val="a3"/>
        <w:spacing w:before="240" w:beforeAutospacing="0" w:after="0" w:afterAutospacing="0"/>
        <w:jc w:val="both"/>
        <w:rPr>
          <w:sz w:val="20"/>
          <w:szCs w:val="20"/>
        </w:rPr>
      </w:pPr>
      <w:r>
        <w:rPr>
          <w:sz w:val="20"/>
          <w:szCs w:val="20"/>
        </w:rPr>
        <w:t>On April 5, 2018, the Operating Partnership acquired the propane assets and operations of two affiliated propane retailers headquartered i</w:t>
      </w:r>
      <w:r>
        <w:rPr>
          <w:sz w:val="20"/>
          <w:szCs w:val="20"/>
        </w:rPr>
        <w:t>n Florida for $11,900, including $1,750 for non-compete consideration, plus working capital acquired. As of September 29, 2018, $10,622 was paid and the remainder of the purchase price will be funded in accordance with the terms of the asset purchase and n</w:t>
      </w:r>
      <w:r>
        <w:rPr>
          <w:sz w:val="20"/>
          <w:szCs w:val="20"/>
        </w:rPr>
        <w:t>on-compete agreements.</w:t>
      </w:r>
    </w:p>
    <w:p w:rsidR="00000000" w:rsidRDefault="00827839">
      <w:pPr>
        <w:pStyle w:val="a3"/>
        <w:spacing w:before="240" w:beforeAutospacing="0" w:after="0" w:afterAutospacing="0"/>
        <w:jc w:val="both"/>
        <w:rPr>
          <w:sz w:val="20"/>
          <w:szCs w:val="20"/>
        </w:rPr>
      </w:pPr>
      <w:r>
        <w:rPr>
          <w:sz w:val="20"/>
          <w:szCs w:val="20"/>
        </w:rPr>
        <w:t>On December 8, 2017, the Operating Partnership sold certain assets and operations in a non-strategic market of its propane segment for $2,800, plus working capital consideration, resulting in a loss of $4,823 that was recognized duri</w:t>
      </w:r>
      <w:r>
        <w:rPr>
          <w:sz w:val="20"/>
          <w:szCs w:val="20"/>
        </w:rPr>
        <w:t>ng the first quarter of fiscal 2018, principally for the allocated goodwill and other identifiable intangible assets associated with this business. The corresponding net assets and results of operations were not material to the Partnership’s consolidated r</w:t>
      </w:r>
      <w:r>
        <w:rPr>
          <w:sz w:val="20"/>
          <w:szCs w:val="20"/>
        </w:rPr>
        <w:t>esults of operations, financial position and cash flows.</w:t>
      </w:r>
    </w:p>
    <w:p w:rsidR="00000000" w:rsidRDefault="00827839">
      <w:pPr>
        <w:pStyle w:val="a3"/>
        <w:spacing w:before="240" w:beforeAutospacing="0" w:after="0" w:afterAutospacing="0"/>
        <w:jc w:val="both"/>
        <w:rPr>
          <w:sz w:val="20"/>
          <w:szCs w:val="20"/>
        </w:rPr>
      </w:pPr>
      <w:r>
        <w:rPr>
          <w:sz w:val="20"/>
          <w:szCs w:val="20"/>
        </w:rPr>
        <w:t>On November 7, 2017, the Operating Partnership acquired the propane assets and operations of a propane retailer headquartered in California for $4,871, including $750 for non-compete consideration, p</w:t>
      </w:r>
      <w:r>
        <w:rPr>
          <w:sz w:val="20"/>
          <w:szCs w:val="20"/>
        </w:rPr>
        <w:t>lus working capital acquired.  As of September 29, 2018, $4,251 was paid and the remainder of the purchase price will be funded in accordance with the terms of the asset purchase and non-compete agreements.</w:t>
      </w:r>
    </w:p>
    <w:p w:rsidR="00000000" w:rsidRDefault="0082783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25924421"/>
        </w:trPr>
        <w:tc>
          <w:tcPr>
            <w:tcW w:w="227" w:type="pct"/>
            <w:noWrap/>
            <w:hideMark/>
          </w:tcPr>
          <w:p w:rsidR="00000000" w:rsidRDefault="00827839">
            <w:pPr>
              <w:pStyle w:val="a3"/>
              <w:spacing w:before="160" w:beforeAutospacing="0" w:after="0" w:afterAutospacing="0"/>
              <w:jc w:val="both"/>
              <w:rPr>
                <w:b/>
                <w:bCs/>
                <w:spacing w:val="-2"/>
                <w:sz w:val="20"/>
                <w:szCs w:val="20"/>
              </w:rPr>
            </w:pPr>
            <w:r>
              <w:rPr>
                <w:b/>
                <w:bCs/>
                <w:spacing w:val="-2"/>
                <w:sz w:val="20"/>
                <w:szCs w:val="20"/>
              </w:rPr>
              <w:t>5.</w:t>
            </w:r>
          </w:p>
        </w:tc>
        <w:tc>
          <w:tcPr>
            <w:tcW w:w="0" w:type="auto"/>
            <w:hideMark/>
          </w:tcPr>
          <w:p w:rsidR="00000000" w:rsidRDefault="00827839">
            <w:pPr>
              <w:pStyle w:val="a3"/>
              <w:spacing w:before="160" w:beforeAutospacing="0" w:after="0" w:afterAutospacing="0"/>
              <w:jc w:val="both"/>
              <w:rPr>
                <w:b/>
                <w:bCs/>
                <w:spacing w:val="-2"/>
                <w:sz w:val="20"/>
                <w:szCs w:val="20"/>
              </w:rPr>
            </w:pPr>
            <w:r>
              <w:rPr>
                <w:b/>
                <w:bCs/>
                <w:spacing w:val="-2"/>
                <w:sz w:val="20"/>
                <w:szCs w:val="20"/>
              </w:rPr>
              <w:t>Distributions of Available Cash</w:t>
            </w:r>
          </w:p>
        </w:tc>
      </w:tr>
    </w:tbl>
    <w:p w:rsidR="00000000" w:rsidRDefault="00827839">
      <w:pPr>
        <w:pStyle w:val="a3"/>
        <w:spacing w:before="120" w:beforeAutospacing="0" w:after="0" w:afterAutospacing="0"/>
        <w:jc w:val="both"/>
        <w:rPr>
          <w:sz w:val="20"/>
          <w:szCs w:val="20"/>
        </w:rPr>
      </w:pPr>
      <w:r>
        <w:rPr>
          <w:sz w:val="20"/>
          <w:szCs w:val="20"/>
        </w:rPr>
        <w:t>The Partnership makes distributions to its partners no later than 45 days after the end of each fiscal quarter in an aggregate amount equal to its Available Cash for such quarter.  Available Cash, as defined in the Partnership Agreement, generally means al</w:t>
      </w:r>
      <w:r>
        <w:rPr>
          <w:sz w:val="20"/>
          <w:szCs w:val="20"/>
        </w:rPr>
        <w:t>l cash on hand at the end of the respective fiscal quarter less the amount of cash reserves established by the Board of Supervisors in its reasonable discretion for future cash requirements.  These reserves are retained for the proper conduct of the Partne</w:t>
      </w:r>
      <w:r>
        <w:rPr>
          <w:sz w:val="20"/>
          <w:szCs w:val="20"/>
        </w:rPr>
        <w:t>rship’s business, the payment of debt principal and interest and for distributions during the next four quarters.</w:t>
      </w:r>
    </w:p>
    <w:p w:rsidR="00000000" w:rsidRDefault="00827839">
      <w:pPr>
        <w:pStyle w:val="a3"/>
        <w:spacing w:before="240" w:beforeAutospacing="0" w:after="0" w:afterAutospacing="0"/>
        <w:jc w:val="both"/>
        <w:rPr>
          <w:sz w:val="20"/>
          <w:szCs w:val="20"/>
        </w:rPr>
      </w:pPr>
      <w:r>
        <w:rPr>
          <w:sz w:val="20"/>
          <w:szCs w:val="20"/>
        </w:rPr>
        <w:t xml:space="preserve">The following summarizes the quarterly distributions per Common Unit declared and paid in respect of each of the quarters in the three fiscal </w:t>
      </w:r>
      <w:r>
        <w:rPr>
          <w:sz w:val="20"/>
          <w:szCs w:val="20"/>
        </w:rPr>
        <w:t>years in the period ended September 28, 2019:</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256"/>
        <w:gridCol w:w="93"/>
        <w:gridCol w:w="115"/>
        <w:gridCol w:w="864"/>
        <w:gridCol w:w="65"/>
        <w:gridCol w:w="80"/>
        <w:gridCol w:w="115"/>
        <w:gridCol w:w="865"/>
        <w:gridCol w:w="65"/>
        <w:gridCol w:w="81"/>
        <w:gridCol w:w="115"/>
        <w:gridCol w:w="866"/>
        <w:gridCol w:w="65"/>
      </w:tblGrid>
      <w:tr w:rsidR="00000000">
        <w:trPr>
          <w:divId w:val="2087800273"/>
        </w:trPr>
        <w:tc>
          <w:tcPr>
            <w:tcW w:w="24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87800273"/>
        </w:trPr>
        <w:tc>
          <w:tcPr>
            <w:tcW w:w="24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7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87800273"/>
        </w:trPr>
        <w:tc>
          <w:tcPr>
            <w:tcW w:w="24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First Quarter</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0.8875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87800273"/>
        </w:trPr>
        <w:tc>
          <w:tcPr>
            <w:tcW w:w="24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Second Quarter</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0.8875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87800273"/>
        </w:trPr>
        <w:tc>
          <w:tcPr>
            <w:tcW w:w="24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Third Quarter</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0.8875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87800273"/>
        </w:trPr>
        <w:tc>
          <w:tcPr>
            <w:tcW w:w="24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Fourth Quarter</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6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0.6000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36408573"/>
        </w:trPr>
        <w:tc>
          <w:tcPr>
            <w:tcW w:w="227" w:type="pct"/>
            <w:noWrap/>
            <w:hideMark/>
          </w:tcPr>
          <w:p w:rsidR="00000000" w:rsidRDefault="00827839">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827839">
            <w:pPr>
              <w:pStyle w:val="a3"/>
              <w:spacing w:before="160" w:beforeAutospacing="0" w:after="0" w:afterAutospacing="0"/>
              <w:jc w:val="both"/>
              <w:rPr>
                <w:b/>
                <w:bCs/>
                <w:sz w:val="20"/>
                <w:szCs w:val="20"/>
              </w:rPr>
            </w:pPr>
            <w:r>
              <w:rPr>
                <w:b/>
                <w:bCs/>
                <w:sz w:val="20"/>
                <w:szCs w:val="20"/>
              </w:rPr>
              <w:t>Selected Balance Sheet Information</w:t>
            </w:r>
          </w:p>
        </w:tc>
      </w:tr>
    </w:tbl>
    <w:p w:rsidR="00000000" w:rsidRDefault="00827839">
      <w:pPr>
        <w:pStyle w:val="a3"/>
        <w:spacing w:before="120" w:beforeAutospacing="0" w:after="0" w:afterAutospacing="0"/>
        <w:jc w:val="both"/>
        <w:rPr>
          <w:sz w:val="20"/>
          <w:szCs w:val="20"/>
        </w:rPr>
      </w:pPr>
      <w:r>
        <w:rPr>
          <w:sz w:val="20"/>
          <w:szCs w:val="20"/>
        </w:rPr>
        <w:t>Inventories consist of the following:</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75"/>
        <w:gridCol w:w="66"/>
        <w:gridCol w:w="116"/>
        <w:gridCol w:w="722"/>
        <w:gridCol w:w="65"/>
        <w:gridCol w:w="66"/>
        <w:gridCol w:w="116"/>
        <w:gridCol w:w="723"/>
        <w:gridCol w:w="65"/>
      </w:tblGrid>
      <w:tr w:rsidR="00000000">
        <w:trPr>
          <w:divId w:val="1607957144"/>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07957144"/>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07957144"/>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607957144"/>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Propane, fuel oil and refined fuels and natural gas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43,217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57,834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07957144"/>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Appliances</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607957144"/>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45,036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59,112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Partnership enters into contracts for the supply of propane, fuel oil and natural gas.  Such contracts generally have a term of one year subject to annual renewal, with purchase quantities specified at the time of order and costs based on market prices</w:t>
      </w:r>
      <w:r>
        <w:rPr>
          <w:sz w:val="20"/>
          <w:szCs w:val="20"/>
        </w:rPr>
        <w:t xml:space="preserve"> at the date of delivery.</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F-16</w:t>
      </w:r>
    </w:p>
    <w:p w:rsidR="00000000" w:rsidRDefault="00827839">
      <w:pPr>
        <w:rPr>
          <w:rFonts w:eastAsia="Times New Roman"/>
        </w:rPr>
      </w:pPr>
      <w:r>
        <w:rPr>
          <w:rFonts w:eastAsia="Times New Roman"/>
        </w:rPr>
        <w:pict>
          <v:rect id="_x0000_i1131"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sz w:val="20"/>
          <w:szCs w:val="20"/>
        </w:rPr>
      </w:pPr>
      <w:r>
        <w:rPr>
          <w:sz w:val="20"/>
          <w:szCs w:val="20"/>
        </w:rPr>
        <w:t>Property, plant and equipment consist of the following:</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0"/>
        <w:gridCol w:w="65"/>
        <w:gridCol w:w="115"/>
        <w:gridCol w:w="815"/>
        <w:gridCol w:w="82"/>
        <w:gridCol w:w="65"/>
        <w:gridCol w:w="115"/>
        <w:gridCol w:w="815"/>
        <w:gridCol w:w="82"/>
      </w:tblGrid>
      <w:tr w:rsidR="00000000">
        <w:trPr>
          <w:divId w:val="1428110244"/>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28110244"/>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28110244"/>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42811024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Land and improvements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189,911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189,314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Buildings and improvements</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113,825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112,490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Transportation equipment</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43,819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48,339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Storage facilities</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112,372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110,419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Equipment, primarily tanks and cylinders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869,007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858,580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Computer software</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49,780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49,847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Construction in progress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11,736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1,390,450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1,373,528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428110244"/>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Less: accumulated depreciation</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(763,243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(724,310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428110244"/>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627,207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649,218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Depreciation expense for fiscal 2019, 2018 and 2017 amounted to $64,500, $68,642 and $71,484, respectively.</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11638309"/>
        </w:trPr>
        <w:tc>
          <w:tcPr>
            <w:tcW w:w="227" w:type="pct"/>
            <w:noWrap/>
            <w:hideMark/>
          </w:tcPr>
          <w:p w:rsidR="00000000" w:rsidRDefault="00827839">
            <w:pPr>
              <w:pStyle w:val="a3"/>
              <w:spacing w:before="160" w:beforeAutospacing="0" w:after="0" w:afterAutospacing="0"/>
              <w:jc w:val="both"/>
              <w:rPr>
                <w:b/>
                <w:bCs/>
                <w:sz w:val="20"/>
                <w:szCs w:val="20"/>
              </w:rPr>
            </w:pPr>
            <w:r>
              <w:rPr>
                <w:b/>
                <w:bCs/>
                <w:sz w:val="20"/>
                <w:szCs w:val="20"/>
              </w:rPr>
              <w:t>7.</w:t>
            </w:r>
          </w:p>
        </w:tc>
        <w:tc>
          <w:tcPr>
            <w:tcW w:w="0" w:type="auto"/>
            <w:hideMark/>
          </w:tcPr>
          <w:p w:rsidR="00000000" w:rsidRDefault="00827839">
            <w:pPr>
              <w:pStyle w:val="a3"/>
              <w:spacing w:before="160" w:beforeAutospacing="0" w:after="0" w:afterAutospacing="0"/>
              <w:jc w:val="both"/>
              <w:rPr>
                <w:b/>
                <w:bCs/>
                <w:sz w:val="20"/>
                <w:szCs w:val="20"/>
              </w:rPr>
            </w:pPr>
            <w:r>
              <w:rPr>
                <w:b/>
                <w:bCs/>
                <w:sz w:val="20"/>
                <w:szCs w:val="20"/>
              </w:rPr>
              <w:t>Goodwill and Other Intangible Assets</w:t>
            </w:r>
          </w:p>
        </w:tc>
      </w:tr>
    </w:tbl>
    <w:p w:rsidR="00000000" w:rsidRDefault="00827839">
      <w:pPr>
        <w:pStyle w:val="a3"/>
        <w:spacing w:before="120" w:beforeAutospacing="0" w:after="0" w:afterAutospacing="0"/>
        <w:jc w:val="both"/>
        <w:rPr>
          <w:sz w:val="20"/>
          <w:szCs w:val="20"/>
        </w:rPr>
      </w:pPr>
      <w:r>
        <w:rPr>
          <w:sz w:val="20"/>
          <w:szCs w:val="20"/>
        </w:rPr>
        <w:t>The Partnership’</w:t>
      </w:r>
      <w:r>
        <w:rPr>
          <w:sz w:val="20"/>
          <w:szCs w:val="20"/>
        </w:rPr>
        <w:t>s fiscal 2019 and fiscal 2018 annual goodwill impairment review resulted in no adjustments to the carrying amount of goodwill.</w:t>
      </w:r>
    </w:p>
    <w:p w:rsidR="00000000" w:rsidRDefault="00827839">
      <w:pPr>
        <w:pStyle w:val="a3"/>
        <w:spacing w:before="240" w:beforeAutospacing="0" w:after="0" w:afterAutospacing="0"/>
        <w:jc w:val="both"/>
        <w:rPr>
          <w:sz w:val="20"/>
          <w:szCs w:val="20"/>
        </w:rPr>
      </w:pPr>
      <w:r>
        <w:rPr>
          <w:sz w:val="20"/>
          <w:szCs w:val="20"/>
        </w:rPr>
        <w:t>The carrying values of goodwill assigned to the Partnership’s operating segments are as follows: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81"/>
        <w:gridCol w:w="65"/>
        <w:gridCol w:w="115"/>
        <w:gridCol w:w="815"/>
        <w:gridCol w:w="65"/>
        <w:gridCol w:w="65"/>
        <w:gridCol w:w="116"/>
        <w:gridCol w:w="779"/>
        <w:gridCol w:w="82"/>
        <w:gridCol w:w="65"/>
        <w:gridCol w:w="116"/>
        <w:gridCol w:w="1000"/>
        <w:gridCol w:w="65"/>
        <w:gridCol w:w="65"/>
        <w:gridCol w:w="115"/>
        <w:gridCol w:w="815"/>
        <w:gridCol w:w="82"/>
      </w:tblGrid>
      <w:tr w:rsidR="00000000">
        <w:trPr>
          <w:divId w:val="871918852"/>
        </w:trPr>
        <w:tc>
          <w:tcPr>
            <w:tcW w:w="252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Propane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Fuel oil and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refined fuels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Natural gas and</w:t>
            </w:r>
          </w:p>
          <w:p w:rsidR="00000000" w:rsidRDefault="00827839">
            <w:pPr>
              <w:pStyle w:val="a3"/>
              <w:spacing w:before="0" w:beforeAutospacing="0" w:after="0" w:afterAutospacing="0"/>
              <w:jc w:val="center"/>
              <w:rPr>
                <w:b/>
                <w:bCs/>
                <w:color w:val="000000"/>
                <w:sz w:val="16"/>
                <w:szCs w:val="16"/>
              </w:rPr>
            </w:pPr>
            <w:r>
              <w:rPr>
                <w:b/>
                <w:bCs/>
                <w:color w:val="000000"/>
                <w:sz w:val="16"/>
                <w:szCs w:val="16"/>
              </w:rPr>
              <w:t>electricity</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71918852"/>
        </w:trPr>
        <w:tc>
          <w:tcPr>
            <w:tcW w:w="252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Balance as of September 29, 2018</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7191885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Goodwill</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1,081,132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1,099,932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Accumulated adjustments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7191885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1,081,132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1,093,470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u w:val="single"/>
              </w:rPr>
              <w:t>Fiscal 2019 Activity</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xml:space="preserve">Goodwill acquired </w:t>
            </w:r>
            <w:r>
              <w:rPr>
                <w:color w:val="000000"/>
                <w:sz w:val="16"/>
                <w:szCs w:val="16"/>
              </w:rPr>
              <w:t>(1)</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Balance as of September 28, 2019</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Goodwill</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1,104,547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71918852"/>
        </w:trPr>
        <w:tc>
          <w:tcPr>
            <w:tcW w:w="252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Accumulated adjustments</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871918852"/>
        </w:trPr>
        <w:tc>
          <w:tcPr>
            <w:tcW w:w="252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Other intangible assets consist of the following:</w:t>
      </w:r>
    </w:p>
    <w:p w:rsidR="00000000" w:rsidRDefault="00827839">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26"/>
        <w:gridCol w:w="65"/>
        <w:gridCol w:w="115"/>
        <w:gridCol w:w="732"/>
        <w:gridCol w:w="82"/>
        <w:gridCol w:w="65"/>
        <w:gridCol w:w="115"/>
        <w:gridCol w:w="732"/>
        <w:gridCol w:w="82"/>
      </w:tblGrid>
      <w:tr w:rsidR="00000000">
        <w:trPr>
          <w:divId w:val="1946691643"/>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46691643"/>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46691643"/>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4669164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Customer relationships </w:t>
            </w:r>
            <w:r>
              <w:rPr>
                <w:color w:val="000000"/>
                <w:sz w:val="16"/>
                <w:szCs w:val="16"/>
              </w:rPr>
              <w:t>(1)</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507,159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499,432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4669164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Non-compete agreements </w:t>
            </w:r>
            <w:r>
              <w:rPr>
                <w:color w:val="000000"/>
                <w:sz w:val="16"/>
                <w:szCs w:val="16"/>
              </w:rPr>
              <w:t>(1)</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35,440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33,540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4669164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4669164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544,566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534,939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4669164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Less: accumulated amortization</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4669164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Customer relationships</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(384,507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(330,571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4669164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Non-compete agreements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(30,181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(27,836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4669164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1,349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4669164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(416,129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(359,756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4669164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128,437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175,183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8844459"/>
        </w:trPr>
        <w:tc>
          <w:tcPr>
            <w:tcW w:w="227" w:type="pct"/>
            <w:noWrap/>
            <w:hideMark/>
          </w:tcPr>
          <w:p w:rsidR="00000000" w:rsidRDefault="00827839">
            <w:pPr>
              <w:pStyle w:val="a3"/>
              <w:spacing w:before="0" w:beforeAutospacing="0" w:after="0" w:afterAutospacing="0"/>
              <w:jc w:val="both"/>
              <w:rPr>
                <w:sz w:val="20"/>
                <w:szCs w:val="20"/>
              </w:rPr>
            </w:pPr>
            <w:r>
              <w:rPr>
                <w:sz w:val="20"/>
                <w:szCs w:val="20"/>
              </w:rPr>
              <w:t>(1)</w:t>
            </w:r>
          </w:p>
        </w:tc>
        <w:tc>
          <w:tcPr>
            <w:tcW w:w="0" w:type="auto"/>
            <w:hideMark/>
          </w:tcPr>
          <w:p w:rsidR="00000000" w:rsidRDefault="00827839">
            <w:pPr>
              <w:pStyle w:val="a3"/>
              <w:spacing w:before="0" w:beforeAutospacing="0" w:after="0" w:afterAutospacing="0"/>
              <w:jc w:val="both"/>
              <w:rPr>
                <w:sz w:val="20"/>
                <w:szCs w:val="20"/>
              </w:rPr>
            </w:pPr>
            <w:r>
              <w:rPr>
                <w:sz w:val="20"/>
                <w:szCs w:val="20"/>
              </w:rPr>
              <w:t>Reflects the impact from acquisitions (See Note 4).</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F-17</w:t>
      </w:r>
    </w:p>
    <w:p w:rsidR="00000000" w:rsidRDefault="00827839">
      <w:pPr>
        <w:rPr>
          <w:rFonts w:eastAsia="Times New Roman"/>
        </w:rPr>
      </w:pPr>
      <w:r>
        <w:rPr>
          <w:rFonts w:eastAsia="Times New Roman"/>
        </w:rPr>
        <w:pict>
          <v:rect id="_x0000_i1132"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40" w:beforeAutospacing="0" w:after="0" w:afterAutospacing="0"/>
        <w:jc w:val="both"/>
        <w:rPr>
          <w:sz w:val="20"/>
          <w:szCs w:val="20"/>
        </w:rPr>
      </w:pPr>
      <w:r>
        <w:rPr>
          <w:sz w:val="20"/>
          <w:szCs w:val="20"/>
        </w:rPr>
        <w:t>Aggregate amortization expense related to other intangible assets for fiscal 2019, 2018 and 2017 was $56,372, $56,580 and $56,454, respectively.  Aggregate amortization expense for each of the five succeeding fiscal ye</w:t>
      </w:r>
      <w:r>
        <w:rPr>
          <w:sz w:val="20"/>
          <w:szCs w:val="20"/>
        </w:rPr>
        <w:t>ars related to other intangible assets held as of September 28, 2019 is estimated as follows: 2020 - $55,926; 2021 - $46,503; 2022 - $5,814; 2023 - $5,213; and 2024 - $5,048.</w:t>
      </w:r>
    </w:p>
    <w:p w:rsidR="00000000" w:rsidRDefault="00827839">
      <w:pPr>
        <w:pStyle w:val="a3"/>
        <w:spacing w:before="0" w:beforeAutospacing="0" w:after="0" w:afterAutospacing="0"/>
        <w:rPr>
          <w:sz w:val="18"/>
          <w:szCs w:val="18"/>
        </w:rPr>
      </w:pPr>
      <w:r>
        <w:rPr>
          <w:sz w:val="18"/>
          <w:szCs w:val="18"/>
        </w:rPr>
        <w:t> </w:t>
      </w:r>
    </w:p>
    <w:p w:rsidR="00000000" w:rsidRDefault="00827839">
      <w:pPr>
        <w:pStyle w:val="a3"/>
        <w:spacing w:before="180" w:beforeAutospacing="0" w:after="0" w:afterAutospacing="0"/>
        <w:jc w:val="both"/>
        <w:rPr>
          <w:b/>
          <w:bCs/>
          <w:sz w:val="20"/>
          <w:szCs w:val="20"/>
        </w:rPr>
      </w:pPr>
      <w:r>
        <w:rPr>
          <w:b/>
          <w:bCs/>
          <w:sz w:val="20"/>
          <w:szCs w:val="20"/>
        </w:rPr>
        <w:t>8.Income Taxes</w:t>
      </w:r>
    </w:p>
    <w:p w:rsidR="00000000" w:rsidRDefault="00827839">
      <w:pPr>
        <w:pStyle w:val="a3"/>
        <w:spacing w:before="120" w:beforeAutospacing="0" w:after="0" w:afterAutospacing="0"/>
        <w:jc w:val="both"/>
        <w:rPr>
          <w:sz w:val="20"/>
          <w:szCs w:val="20"/>
        </w:rPr>
      </w:pPr>
      <w:r>
        <w:rPr>
          <w:sz w:val="20"/>
          <w:szCs w:val="20"/>
        </w:rPr>
        <w:t>For federal income tax purposes, as well as for state income tax</w:t>
      </w:r>
      <w:r>
        <w:rPr>
          <w:sz w:val="20"/>
          <w:szCs w:val="20"/>
        </w:rPr>
        <w:t xml:space="preserve"> purposes in the majority of the states in which the Partnership operates, the earnings attributable to the Partnership and the Operating Partnership are not subject to income tax at the partnership level.  With the exception of those states that impose an</w:t>
      </w:r>
      <w:r>
        <w:rPr>
          <w:sz w:val="20"/>
          <w:szCs w:val="20"/>
        </w:rPr>
        <w:t xml:space="preserve"> entity-level income tax on partnerships, the taxable income or loss attributable to the Partnership and to the Operating Partnership, which may vary substantially from the income (loss) before income taxes reported by the Partnership in the consolidated s</w:t>
      </w:r>
      <w:r>
        <w:rPr>
          <w:sz w:val="20"/>
          <w:szCs w:val="20"/>
        </w:rPr>
        <w:t>tatement of operations, are includable in the federal and state income tax returns of the Common Unitholders.  The aggregate difference in the basis of the Partnership’s net assets for financial and tax reporting purposes cannot be readily determined as th</w:t>
      </w:r>
      <w:r>
        <w:rPr>
          <w:sz w:val="20"/>
          <w:szCs w:val="20"/>
        </w:rPr>
        <w:t>e Partnership does not have access to each Common Unitholder’s basis in the Partnership.</w:t>
      </w:r>
    </w:p>
    <w:p w:rsidR="00000000" w:rsidRDefault="00827839">
      <w:pPr>
        <w:pStyle w:val="a3"/>
        <w:spacing w:before="240" w:beforeAutospacing="0" w:after="0" w:afterAutospacing="0"/>
        <w:jc w:val="both"/>
        <w:rPr>
          <w:sz w:val="20"/>
          <w:szCs w:val="20"/>
        </w:rPr>
      </w:pPr>
      <w:r>
        <w:rPr>
          <w:sz w:val="20"/>
          <w:szCs w:val="20"/>
        </w:rPr>
        <w:t xml:space="preserve">As described in Note 1, the earnings of the Corporate Entities are subject to corporate level federal and state income tax.  However, based upon past performance, the </w:t>
      </w:r>
      <w:r>
        <w:rPr>
          <w:sz w:val="20"/>
          <w:szCs w:val="20"/>
        </w:rPr>
        <w:t>Corporate Entities are currently reporting an income tax provision composed primarily of minimum state income taxes.  A full valuation allowance has been provided against the deferred tax assets (with the exception of the AMT credit carryforward; see below</w:t>
      </w:r>
      <w:r>
        <w:rPr>
          <w:sz w:val="20"/>
          <w:szCs w:val="20"/>
        </w:rPr>
        <w:t>) based upon an analysis of all available evidence, both negative and positive at the balance sheet date, which, taken as a whole, indicates that it is more likely than not that sufficient future taxable income will not be available to utilize the assets. </w:t>
      </w:r>
      <w:r>
        <w:rPr>
          <w:sz w:val="20"/>
          <w:szCs w:val="20"/>
        </w:rPr>
        <w:t> Management’s periodic reviews include, among other things, the nature and amount of the taxable income and expense items, the expected timing of when assets will be used or liabilities will be required to be reported and the reliability of historical prof</w:t>
      </w:r>
      <w:r>
        <w:rPr>
          <w:sz w:val="20"/>
          <w:szCs w:val="20"/>
        </w:rPr>
        <w:t>itability of businesses expected to provide future earnings. Furthermore, management considered tax-planning strategies it could use to increase the likelihood that the deferred tax assets will be realized.</w:t>
      </w:r>
    </w:p>
    <w:p w:rsidR="00000000" w:rsidRDefault="00827839">
      <w:pPr>
        <w:pStyle w:val="a3"/>
        <w:spacing w:before="240" w:beforeAutospacing="0" w:after="0" w:afterAutospacing="0"/>
        <w:jc w:val="both"/>
        <w:rPr>
          <w:sz w:val="20"/>
          <w:szCs w:val="20"/>
        </w:rPr>
      </w:pPr>
      <w:r>
        <w:rPr>
          <w:sz w:val="20"/>
          <w:szCs w:val="20"/>
        </w:rPr>
        <w:t>On December 22, 2017, the Tax Cuts and Jobs Act (</w:t>
      </w:r>
      <w:r>
        <w:rPr>
          <w:sz w:val="20"/>
          <w:szCs w:val="20"/>
        </w:rPr>
        <w:t xml:space="preserve">“2017 Act”) was signed into law, which enacted significant changes to U.S. tax and related laws.  Some of the provisions of the 2017 Act that could affect the Partnership, the Operating Partnership and their subsidiaries include, but are not limited to, a </w:t>
      </w:r>
      <w:r>
        <w:rPr>
          <w:sz w:val="20"/>
          <w:szCs w:val="20"/>
        </w:rPr>
        <w:t>reduction of the federal corporate income tax rate from 35% to 21%, limitations on the deductibility of net business interest expense, restrictions on the use of net operating losses (and related carryforwards) arising in taxable years beginning after Dece</w:t>
      </w:r>
      <w:r>
        <w:rPr>
          <w:sz w:val="20"/>
          <w:szCs w:val="20"/>
        </w:rPr>
        <w:t>mber 31, 2017 and full expensing for certain qualified property.</w:t>
      </w:r>
    </w:p>
    <w:p w:rsidR="00000000" w:rsidRDefault="00827839">
      <w:pPr>
        <w:pStyle w:val="a3"/>
        <w:spacing w:before="240" w:beforeAutospacing="0" w:after="0" w:afterAutospacing="0"/>
        <w:jc w:val="both"/>
        <w:rPr>
          <w:sz w:val="20"/>
          <w:szCs w:val="20"/>
        </w:rPr>
      </w:pPr>
      <w:r>
        <w:rPr>
          <w:sz w:val="20"/>
          <w:szCs w:val="20"/>
        </w:rPr>
        <w:t>In the case of a corporation, the 2017 Act made Alternative Minimum Tax (“AMT”) credit carryforwards refundable without regard to future taxable income. Accordingly, in fiscal 2018, the Partn</w:t>
      </w:r>
      <w:r>
        <w:rPr>
          <w:sz w:val="20"/>
          <w:szCs w:val="20"/>
        </w:rPr>
        <w:t>ership concluded that the existing valuation allowance on the AMT credit carryforwards of the Corporate Entities should be released as part of accounting for tax reform.  The reversal of the valuation allowance resulted in a $1,086 discrete deferred tax be</w:t>
      </w:r>
      <w:r>
        <w:rPr>
          <w:sz w:val="20"/>
          <w:szCs w:val="20"/>
        </w:rPr>
        <w:t>nefit being recorded during the first quarter of fiscal 2018.  In fiscal 2018, the Partnership remeasured all other federal net deferred tax assets of the Corporate Entities using the new 21% federal income tax rate and correspondingly adjusted the full va</w:t>
      </w:r>
      <w:r>
        <w:rPr>
          <w:sz w:val="20"/>
          <w:szCs w:val="20"/>
        </w:rPr>
        <w:t>luation allowance.  </w:t>
      </w:r>
    </w:p>
    <w:p w:rsidR="00000000" w:rsidRDefault="00827839">
      <w:pPr>
        <w:pStyle w:val="a3"/>
        <w:spacing w:before="240" w:beforeAutospacing="0" w:after="0" w:afterAutospacing="0"/>
        <w:jc w:val="both"/>
        <w:rPr>
          <w:sz w:val="20"/>
          <w:szCs w:val="20"/>
        </w:rPr>
      </w:pPr>
      <w:r>
        <w:rPr>
          <w:sz w:val="20"/>
          <w:szCs w:val="20"/>
        </w:rPr>
        <w:t>The income tax provision of all the legal entities included in the Partnership’s consolidated statement of operations, which is composed primarily of state income taxes in the few states that impose taxes on partnerships and minimum st</w:t>
      </w:r>
      <w:r>
        <w:rPr>
          <w:sz w:val="20"/>
          <w:szCs w:val="20"/>
        </w:rPr>
        <w:t>ate income taxes on the Corporate Entities, consists of the following:</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807"/>
        <w:gridCol w:w="67"/>
        <w:gridCol w:w="116"/>
        <w:gridCol w:w="694"/>
        <w:gridCol w:w="65"/>
        <w:gridCol w:w="65"/>
        <w:gridCol w:w="116"/>
        <w:gridCol w:w="688"/>
        <w:gridCol w:w="82"/>
        <w:gridCol w:w="66"/>
        <w:gridCol w:w="116"/>
        <w:gridCol w:w="698"/>
        <w:gridCol w:w="65"/>
      </w:tblGrid>
      <w:tr w:rsidR="00000000">
        <w:trPr>
          <w:divId w:val="1738547720"/>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38547720"/>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38547720"/>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3854772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Current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854772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Federal</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854772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State and local</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854772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854772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Deferred</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854772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F-18</w:t>
      </w:r>
    </w:p>
    <w:p w:rsidR="00000000" w:rsidRDefault="00827839">
      <w:pPr>
        <w:rPr>
          <w:rFonts w:eastAsia="Times New Roman"/>
        </w:rPr>
      </w:pPr>
      <w:r>
        <w:rPr>
          <w:rFonts w:eastAsia="Times New Roman"/>
        </w:rPr>
        <w:pict>
          <v:rect id="_x0000_i1133"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40" w:beforeAutospacing="0" w:after="0" w:afterAutospacing="0"/>
        <w:jc w:val="both"/>
        <w:rPr>
          <w:sz w:val="20"/>
          <w:szCs w:val="20"/>
        </w:rPr>
      </w:pPr>
      <w:r>
        <w:rPr>
          <w:sz w:val="20"/>
          <w:szCs w:val="20"/>
        </w:rPr>
        <w:t>The provision for income taxes differs from income taxes computed at the United States federal statutory rate as a result of the following:</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91"/>
        <w:gridCol w:w="65"/>
        <w:gridCol w:w="116"/>
        <w:gridCol w:w="688"/>
        <w:gridCol w:w="82"/>
        <w:gridCol w:w="65"/>
        <w:gridCol w:w="116"/>
        <w:gridCol w:w="688"/>
        <w:gridCol w:w="82"/>
        <w:gridCol w:w="65"/>
        <w:gridCol w:w="116"/>
        <w:gridCol w:w="689"/>
        <w:gridCol w:w="82"/>
      </w:tblGrid>
      <w:tr w:rsidR="00000000">
        <w:trPr>
          <w:divId w:val="2015955903"/>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15955903"/>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15955903"/>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1595590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Income tax provision at federal statutory tax rate</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14,593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15,945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595590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Impact of Partnership income not subject to</w:t>
            </w:r>
          </w:p>
          <w:p w:rsidR="00000000" w:rsidRDefault="00827839">
            <w:pPr>
              <w:pStyle w:val="a3"/>
              <w:spacing w:before="0" w:beforeAutospacing="0" w:after="0" w:afterAutospacing="0"/>
              <w:rPr>
                <w:color w:val="000000"/>
                <w:sz w:val="20"/>
                <w:szCs w:val="20"/>
              </w:rPr>
            </w:pPr>
            <w:r>
              <w:rPr>
                <w:color w:val="000000"/>
                <w:sz w:val="20"/>
                <w:szCs w:val="20"/>
              </w:rPr>
              <w:t>   federal income taxes</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(14,925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(15,939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(13,892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01595590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Permanent differences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595590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Change in valuation allowance</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(21,307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595590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State income taxes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595590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Remeasurement of net deferred tax assets</w:t>
            </w:r>
            <w:r>
              <w:rPr>
                <w:color w:val="000000"/>
                <w:sz w:val="16"/>
                <w:szCs w:val="16"/>
              </w:rPr>
              <w:t xml:space="preserve"> (1)</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19,941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5955903"/>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015955903"/>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Provision for income taxes - current and deferred</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components of net deferred taxes and the related valuation allowance using currently enacted tax rates are as follows:</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62"/>
        <w:gridCol w:w="65"/>
        <w:gridCol w:w="116"/>
        <w:gridCol w:w="712"/>
        <w:gridCol w:w="82"/>
        <w:gridCol w:w="65"/>
        <w:gridCol w:w="116"/>
        <w:gridCol w:w="714"/>
        <w:gridCol w:w="82"/>
      </w:tblGrid>
      <w:tr w:rsidR="00000000">
        <w:trPr>
          <w:divId w:val="1953200903"/>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53200903"/>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53200903"/>
        </w:trPr>
        <w:tc>
          <w:tcPr>
            <w:tcW w:w="334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 (1)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53200903"/>
        </w:trPr>
        <w:tc>
          <w:tcPr>
            <w:tcW w:w="334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Deferred tax assets: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53200903"/>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Net operating loss carryforwards</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38,914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38,672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Allowance for doubtful accounts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Inventory</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Deferred revenue</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AMT credit carryforward</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accruals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deferred tax assets</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41,859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42,596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Deferred tax liabilities: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Intangible assets</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Property, plant and equipment</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deferred tax liabilities</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821"/>
              <w:rPr>
                <w:color w:val="000000"/>
                <w:sz w:val="20"/>
                <w:szCs w:val="20"/>
              </w:rPr>
            </w:pPr>
            <w:r>
              <w:rPr>
                <w:color w:val="000000"/>
                <w:sz w:val="20"/>
                <w:szCs w:val="20"/>
              </w:rPr>
              <w:t>Net deferred tax assets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38,509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38,967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53200903"/>
        </w:trPr>
        <w:tc>
          <w:tcPr>
            <w:tcW w:w="334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Valuation allowance</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(37,881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953200903"/>
        </w:trPr>
        <w:tc>
          <w:tcPr>
            <w:tcW w:w="334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deferred tax assets</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54054061"/>
        </w:trPr>
        <w:tc>
          <w:tcPr>
            <w:tcW w:w="227" w:type="pct"/>
            <w:noWrap/>
            <w:hideMark/>
          </w:tcPr>
          <w:p w:rsidR="00000000" w:rsidRDefault="00827839">
            <w:pPr>
              <w:pStyle w:val="a3"/>
              <w:spacing w:before="0" w:beforeAutospacing="0" w:after="0" w:afterAutospacing="0"/>
              <w:jc w:val="both"/>
              <w:rPr>
                <w:sz w:val="20"/>
                <w:szCs w:val="20"/>
              </w:rPr>
            </w:pPr>
            <w:r>
              <w:rPr>
                <w:sz w:val="20"/>
                <w:szCs w:val="20"/>
              </w:rPr>
              <w:t>(1)</w:t>
            </w:r>
          </w:p>
        </w:tc>
        <w:tc>
          <w:tcPr>
            <w:tcW w:w="0" w:type="auto"/>
            <w:hideMark/>
          </w:tcPr>
          <w:p w:rsidR="00000000" w:rsidRDefault="00827839">
            <w:pPr>
              <w:pStyle w:val="a3"/>
              <w:spacing w:before="0" w:beforeAutospacing="0" w:after="0" w:afterAutospacing="0"/>
              <w:jc w:val="both"/>
              <w:rPr>
                <w:sz w:val="20"/>
                <w:szCs w:val="20"/>
              </w:rPr>
            </w:pPr>
            <w:r>
              <w:rPr>
                <w:sz w:val="20"/>
                <w:szCs w:val="20"/>
              </w:rPr>
              <w:t>As described above, federal net deferred tax assets of the Corporate Entities were remeasured, pursuant to the 2017 Act, using the new 21% federal income tax rate and the full valuation allowance was adjusted accordingly.</w:t>
            </w:r>
          </w:p>
        </w:tc>
      </w:tr>
    </w:tbl>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37877141"/>
        </w:trPr>
        <w:tc>
          <w:tcPr>
            <w:tcW w:w="227" w:type="pct"/>
            <w:noWrap/>
            <w:hideMark/>
          </w:tcPr>
          <w:p w:rsidR="00000000" w:rsidRDefault="00827839">
            <w:pPr>
              <w:pStyle w:val="a3"/>
              <w:spacing w:before="180" w:beforeAutospacing="0" w:after="0" w:afterAutospacing="0"/>
              <w:jc w:val="both"/>
              <w:rPr>
                <w:b/>
                <w:bCs/>
                <w:sz w:val="20"/>
                <w:szCs w:val="20"/>
              </w:rPr>
            </w:pPr>
            <w:r>
              <w:rPr>
                <w:b/>
                <w:bCs/>
                <w:sz w:val="20"/>
                <w:szCs w:val="20"/>
              </w:rPr>
              <w:t>9.</w:t>
            </w:r>
          </w:p>
        </w:tc>
        <w:tc>
          <w:tcPr>
            <w:tcW w:w="0" w:type="auto"/>
            <w:hideMark/>
          </w:tcPr>
          <w:p w:rsidR="00000000" w:rsidRDefault="00827839">
            <w:pPr>
              <w:pStyle w:val="a3"/>
              <w:spacing w:before="180" w:beforeAutospacing="0" w:after="0" w:afterAutospacing="0"/>
              <w:jc w:val="both"/>
              <w:rPr>
                <w:b/>
                <w:bCs/>
                <w:sz w:val="20"/>
                <w:szCs w:val="20"/>
              </w:rPr>
            </w:pPr>
            <w:r>
              <w:rPr>
                <w:b/>
                <w:bCs/>
                <w:sz w:val="20"/>
                <w:szCs w:val="20"/>
              </w:rPr>
              <w:t>Long-Term Borrowings</w:t>
            </w:r>
          </w:p>
        </w:tc>
      </w:tr>
    </w:tbl>
    <w:p w:rsidR="00000000" w:rsidRDefault="00827839">
      <w:pPr>
        <w:pStyle w:val="a3"/>
        <w:spacing w:before="120" w:beforeAutospacing="0" w:after="0" w:afterAutospacing="0"/>
        <w:jc w:val="both"/>
        <w:rPr>
          <w:sz w:val="20"/>
          <w:szCs w:val="20"/>
        </w:rPr>
      </w:pPr>
      <w:r>
        <w:rPr>
          <w:sz w:val="20"/>
          <w:szCs w:val="20"/>
        </w:rPr>
        <w:t>Long-term borrowings consist of the following:</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0"/>
        <w:gridCol w:w="65"/>
        <w:gridCol w:w="115"/>
        <w:gridCol w:w="815"/>
        <w:gridCol w:w="82"/>
        <w:gridCol w:w="65"/>
        <w:gridCol w:w="115"/>
        <w:gridCol w:w="815"/>
        <w:gridCol w:w="82"/>
      </w:tblGrid>
      <w:tr w:rsidR="00000000">
        <w:trPr>
          <w:divId w:val="1892421102"/>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892421102"/>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892421102"/>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892421102"/>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5.5% senior notes, due June 1, 2024</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892421102"/>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5.75</w:t>
            </w:r>
            <w:r>
              <w:rPr>
                <w:color w:val="000000"/>
                <w:sz w:val="20"/>
                <w:szCs w:val="20"/>
              </w:rPr>
              <w:t>% senior notes, due March 1, 2025</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892421102"/>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5.875% senior notes, due March 1, 2027</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892421102"/>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Revolving Credit Facility, due March 3, 2021</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113,500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143,600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892421102"/>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Subtotal</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1,238,500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1,268,600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892421102"/>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892421102"/>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Less: unamortized debt issuance costs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(11,443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892421102"/>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1,227,057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1,255,138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0" w:beforeAutospacing="0" w:after="0" w:afterAutospacing="0"/>
        <w:rPr>
          <w:b/>
          <w:bCs/>
          <w:sz w:val="20"/>
          <w:szCs w:val="20"/>
        </w:rPr>
      </w:pP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F-19</w:t>
      </w:r>
    </w:p>
    <w:p w:rsidR="00000000" w:rsidRDefault="00827839">
      <w:pPr>
        <w:rPr>
          <w:rFonts w:eastAsia="Times New Roman"/>
        </w:rPr>
      </w:pPr>
      <w:r>
        <w:rPr>
          <w:rFonts w:eastAsia="Times New Roman"/>
        </w:rPr>
        <w:pict>
          <v:rect id="_x0000_i1134"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both"/>
        <w:rPr>
          <w:b/>
          <w:bCs/>
          <w:sz w:val="20"/>
          <w:szCs w:val="20"/>
        </w:rPr>
      </w:pPr>
      <w:r>
        <w:rPr>
          <w:b/>
          <w:bCs/>
          <w:sz w:val="20"/>
          <w:szCs w:val="20"/>
        </w:rPr>
        <w:t>Senior Notes</w:t>
      </w:r>
    </w:p>
    <w:p w:rsidR="00000000" w:rsidRDefault="00827839">
      <w:pPr>
        <w:pStyle w:val="a3"/>
        <w:spacing w:before="120" w:beforeAutospacing="0" w:after="0" w:afterAutospacing="0"/>
        <w:jc w:val="both"/>
        <w:rPr>
          <w:i/>
          <w:iCs/>
          <w:sz w:val="20"/>
          <w:szCs w:val="20"/>
        </w:rPr>
      </w:pPr>
      <w:r>
        <w:rPr>
          <w:i/>
          <w:iCs/>
          <w:sz w:val="20"/>
          <w:szCs w:val="20"/>
        </w:rPr>
        <w:t>2024 Senior Notes</w:t>
      </w:r>
    </w:p>
    <w:p w:rsidR="00000000" w:rsidRDefault="00827839">
      <w:pPr>
        <w:pStyle w:val="a3"/>
        <w:spacing w:before="120" w:beforeAutospacing="0" w:after="0" w:afterAutospacing="0"/>
        <w:jc w:val="both"/>
        <w:rPr>
          <w:sz w:val="20"/>
          <w:szCs w:val="20"/>
        </w:rPr>
      </w:pPr>
      <w:r>
        <w:rPr>
          <w:sz w:val="20"/>
          <w:szCs w:val="20"/>
        </w:rPr>
        <w:t>On May 27, 2014, the Partnership and its 100</w:t>
      </w:r>
      <w:r>
        <w:rPr>
          <w:sz w:val="20"/>
          <w:szCs w:val="20"/>
        </w:rPr>
        <w:t>%-owned subsidiary, Suburban Energy Finance Corp., completed a public offering of $525,000 in aggregate principal amount of 5.5% senior notes due June 1, 2024 (the “2024 Senior Notes”).  The 2024 Senior Notes were issued at 100% of the principal amount and</w:t>
      </w:r>
      <w:r>
        <w:rPr>
          <w:sz w:val="20"/>
          <w:szCs w:val="20"/>
        </w:rPr>
        <w:t xml:space="preserve"> require semi-annual interest payments in June and December.  The net proceeds from the issuance of the 2024 Senior Notes, along with cash on hand, were used to repurchase, satisfy and discharge all of the Partnership’s then-outstanding 7.5% senior notes d</w:t>
      </w:r>
      <w:r>
        <w:rPr>
          <w:sz w:val="20"/>
          <w:szCs w:val="20"/>
        </w:rPr>
        <w:t>ue in 2018.</w:t>
      </w:r>
    </w:p>
    <w:p w:rsidR="00000000" w:rsidRDefault="00827839">
      <w:pPr>
        <w:pStyle w:val="a3"/>
        <w:spacing w:before="240" w:beforeAutospacing="0" w:after="0" w:afterAutospacing="0"/>
        <w:jc w:val="both"/>
        <w:rPr>
          <w:sz w:val="20"/>
          <w:szCs w:val="20"/>
        </w:rPr>
      </w:pPr>
      <w:r>
        <w:rPr>
          <w:sz w:val="20"/>
          <w:szCs w:val="20"/>
        </w:rPr>
        <w:t>The 2024 Senior Notes are redeemable, at the Partnership’s option, in whole or in part, at any time on or after June 1, 2019, in each case at the redemption prices described in the table below, together with any accrued and unpaid interest to t</w:t>
      </w:r>
      <w:r>
        <w:rPr>
          <w:sz w:val="20"/>
          <w:szCs w:val="20"/>
        </w:rPr>
        <w:t>he date of the redemption.</w:t>
      </w:r>
    </w:p>
    <w:p w:rsidR="00000000" w:rsidRDefault="00827839">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709"/>
        <w:gridCol w:w="117"/>
        <w:gridCol w:w="1093"/>
        <w:gridCol w:w="65"/>
      </w:tblGrid>
      <w:tr w:rsidR="00000000">
        <w:trPr>
          <w:divId w:val="897323209"/>
        </w:trPr>
        <w:tc>
          <w:tcPr>
            <w:tcW w:w="3725"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0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897323209"/>
        </w:trPr>
        <w:tc>
          <w:tcPr>
            <w:tcW w:w="3725"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2019</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01"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102.750%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97323209"/>
        </w:trPr>
        <w:tc>
          <w:tcPr>
            <w:tcW w:w="37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2020</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0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101.833%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97323209"/>
        </w:trPr>
        <w:tc>
          <w:tcPr>
            <w:tcW w:w="37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2021</w:t>
            </w:r>
          </w:p>
        </w:tc>
        <w:tc>
          <w:tcPr>
            <w:tcW w:w="12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0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100.917%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897323209"/>
        </w:trPr>
        <w:tc>
          <w:tcPr>
            <w:tcW w:w="37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2022 and thereafter</w:t>
            </w:r>
          </w:p>
        </w:tc>
        <w:tc>
          <w:tcPr>
            <w:tcW w:w="12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0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160" w:beforeAutospacing="0" w:after="0" w:afterAutospacing="0"/>
        <w:jc w:val="both"/>
        <w:rPr>
          <w:i/>
          <w:iCs/>
          <w:sz w:val="20"/>
          <w:szCs w:val="20"/>
        </w:rPr>
      </w:pPr>
      <w:r>
        <w:rPr>
          <w:i/>
          <w:iCs/>
          <w:sz w:val="20"/>
          <w:szCs w:val="20"/>
        </w:rPr>
        <w:t>2025 Senior Notes</w:t>
      </w:r>
    </w:p>
    <w:p w:rsidR="00000000" w:rsidRDefault="00827839">
      <w:pPr>
        <w:pStyle w:val="a3"/>
        <w:spacing w:before="120" w:beforeAutospacing="0" w:after="0" w:afterAutospacing="0"/>
        <w:jc w:val="both"/>
        <w:rPr>
          <w:sz w:val="20"/>
          <w:szCs w:val="20"/>
        </w:rPr>
      </w:pPr>
      <w:r>
        <w:rPr>
          <w:sz w:val="20"/>
          <w:szCs w:val="20"/>
        </w:rPr>
        <w:t>On February 25, 2015</w:t>
      </w:r>
      <w:r>
        <w:rPr>
          <w:sz w:val="20"/>
          <w:szCs w:val="20"/>
        </w:rPr>
        <w:t>, the Partnership and its 100%-owned subsidiary, Suburban Energy Finance Corp., completed a public offering of $250,000 in aggregate principal amount of 5.75% senior notes due March 1, 2025 (the “2025 Senior Notes”).  The 2025 Senior Notes were issued at 1</w:t>
      </w:r>
      <w:r>
        <w:rPr>
          <w:sz w:val="20"/>
          <w:szCs w:val="20"/>
        </w:rPr>
        <w:t>00% of the principal amount and require semi-annual interest payments in March and September.  The net proceeds from the issuance of the 2025 Senior Notes, along with cash on hand, were used to repurchase, satisfy and discharge all of the Partnership’s the</w:t>
      </w:r>
      <w:r>
        <w:rPr>
          <w:sz w:val="20"/>
          <w:szCs w:val="20"/>
        </w:rPr>
        <w:t xml:space="preserve">n-outstanding 7.375% senior notes due in 2020. </w:t>
      </w:r>
    </w:p>
    <w:p w:rsidR="00000000" w:rsidRDefault="00827839">
      <w:pPr>
        <w:pStyle w:val="a3"/>
        <w:spacing w:before="240" w:beforeAutospacing="0" w:after="0" w:afterAutospacing="0"/>
        <w:jc w:val="both"/>
        <w:rPr>
          <w:sz w:val="20"/>
          <w:szCs w:val="20"/>
        </w:rPr>
      </w:pPr>
      <w:r>
        <w:rPr>
          <w:sz w:val="20"/>
          <w:szCs w:val="20"/>
        </w:rPr>
        <w:t>The 2025 Senior Notes are redeemable, at the Partnership’s option, in whole or in part, at any time on or after March 1, 2020, in each case at the redemption prices described in the table below, together with</w:t>
      </w:r>
      <w:r>
        <w:rPr>
          <w:sz w:val="20"/>
          <w:szCs w:val="20"/>
        </w:rPr>
        <w:t xml:space="preserve"> any accrued and unpaid interest to the date of the redemption.</w:t>
      </w:r>
    </w:p>
    <w:p w:rsidR="00000000" w:rsidRDefault="00827839">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683"/>
        <w:gridCol w:w="120"/>
        <w:gridCol w:w="1116"/>
        <w:gridCol w:w="65"/>
      </w:tblGrid>
      <w:tr w:rsidR="00000000">
        <w:trPr>
          <w:divId w:val="2013802152"/>
        </w:trPr>
        <w:tc>
          <w:tcPr>
            <w:tcW w:w="3699"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25"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13802152"/>
        </w:trPr>
        <w:tc>
          <w:tcPr>
            <w:tcW w:w="3699"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2020</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102.875%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3802152"/>
        </w:trPr>
        <w:tc>
          <w:tcPr>
            <w:tcW w:w="36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2021</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101.917%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3802152"/>
        </w:trPr>
        <w:tc>
          <w:tcPr>
            <w:tcW w:w="369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2022</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100.958%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3802152"/>
        </w:trPr>
        <w:tc>
          <w:tcPr>
            <w:tcW w:w="36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2023 and thereafter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160" w:beforeAutospacing="0" w:after="0" w:afterAutospacing="0"/>
        <w:jc w:val="both"/>
        <w:rPr>
          <w:i/>
          <w:iCs/>
          <w:sz w:val="20"/>
          <w:szCs w:val="20"/>
        </w:rPr>
      </w:pPr>
      <w:r>
        <w:rPr>
          <w:i/>
          <w:iCs/>
          <w:sz w:val="20"/>
          <w:szCs w:val="20"/>
        </w:rPr>
        <w:t>2027 Senior Notes</w:t>
      </w:r>
    </w:p>
    <w:p w:rsidR="00000000" w:rsidRDefault="00827839">
      <w:pPr>
        <w:pStyle w:val="a3"/>
        <w:spacing w:before="120" w:beforeAutospacing="0" w:after="0" w:afterAutospacing="0"/>
        <w:jc w:val="both"/>
        <w:rPr>
          <w:sz w:val="20"/>
          <w:szCs w:val="20"/>
        </w:rPr>
      </w:pPr>
      <w:r>
        <w:rPr>
          <w:sz w:val="20"/>
          <w:szCs w:val="20"/>
        </w:rPr>
        <w:t>On February 14, 2017</w:t>
      </w:r>
      <w:r>
        <w:rPr>
          <w:sz w:val="20"/>
          <w:szCs w:val="20"/>
        </w:rPr>
        <w:t xml:space="preserve">, the Partnership and its 100%-owned subsidiary, Suburban Energy Finance Corp., completed a public offering of $350,000 in aggregate principal amount of 5.875% senior notes due March 1, 2027 (the “2027 Senior Notes”).  The 2027 Senior Notes were issued at </w:t>
      </w:r>
      <w:r>
        <w:rPr>
          <w:sz w:val="20"/>
          <w:szCs w:val="20"/>
        </w:rPr>
        <w:t>100% of the principal amount and require semi-annual interest payments in March and September.  The net proceeds from the issuance of the 2027 Senior Notes, along with borrowings under the Revolving Credit Facility, were used to repurchase, satisfy and dis</w:t>
      </w:r>
      <w:r>
        <w:rPr>
          <w:sz w:val="20"/>
          <w:szCs w:val="20"/>
        </w:rPr>
        <w:t>charge all of the Partnership’s then-outstanding 7.375% senior notes due in 2021 which resulted in a loss on debt extinguishment of $1,567 consisting of $15,078 for the redemption premium and related fees, as well as the write-off of $2,272 and ($15,783) i</w:t>
      </w:r>
      <w:r>
        <w:rPr>
          <w:sz w:val="20"/>
          <w:szCs w:val="20"/>
        </w:rPr>
        <w:t>n unamortized debt origination costs and unamortized premium, respectively.</w:t>
      </w:r>
    </w:p>
    <w:p w:rsidR="00000000" w:rsidRDefault="00827839">
      <w:pPr>
        <w:pStyle w:val="a3"/>
        <w:spacing w:before="240" w:beforeAutospacing="0" w:after="0" w:afterAutospacing="0"/>
        <w:jc w:val="both"/>
        <w:rPr>
          <w:sz w:val="20"/>
          <w:szCs w:val="20"/>
        </w:rPr>
      </w:pPr>
      <w:r>
        <w:rPr>
          <w:sz w:val="20"/>
          <w:szCs w:val="20"/>
        </w:rPr>
        <w:t>The 2027 Senior Notes are redeemable, at the Partnership’s option, in whole or in part, at any time on or after March 1, 2022, in each case at the redemption prices described in th</w:t>
      </w:r>
      <w:r>
        <w:rPr>
          <w:sz w:val="20"/>
          <w:szCs w:val="20"/>
        </w:rPr>
        <w:t>e table below, together with any accrued and unpaid interest to the date of the redemption.</w:t>
      </w:r>
    </w:p>
    <w:p w:rsidR="00000000" w:rsidRDefault="00827839">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683"/>
        <w:gridCol w:w="120"/>
        <w:gridCol w:w="1116"/>
        <w:gridCol w:w="65"/>
      </w:tblGrid>
      <w:tr w:rsidR="00000000">
        <w:trPr>
          <w:divId w:val="1163816595"/>
        </w:trPr>
        <w:tc>
          <w:tcPr>
            <w:tcW w:w="3699"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25"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163816595"/>
        </w:trPr>
        <w:tc>
          <w:tcPr>
            <w:tcW w:w="3699"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2022</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102.938%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63816595"/>
        </w:trPr>
        <w:tc>
          <w:tcPr>
            <w:tcW w:w="36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2023</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101.958%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63816595"/>
        </w:trPr>
        <w:tc>
          <w:tcPr>
            <w:tcW w:w="369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2024</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100.979%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163816595"/>
        </w:trPr>
        <w:tc>
          <w:tcPr>
            <w:tcW w:w="36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2025 and thereafter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12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100.000%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F-20</w:t>
      </w:r>
    </w:p>
    <w:p w:rsidR="00000000" w:rsidRDefault="00827839">
      <w:pPr>
        <w:rPr>
          <w:rFonts w:eastAsia="Times New Roman"/>
        </w:rPr>
      </w:pPr>
      <w:r>
        <w:rPr>
          <w:rFonts w:eastAsia="Times New Roman"/>
        </w:rPr>
        <w:pict>
          <v:rect id="_x0000_i1135"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40" w:beforeAutospacing="0" w:after="0" w:afterAutospacing="0"/>
        <w:jc w:val="both"/>
        <w:rPr>
          <w:sz w:val="20"/>
          <w:szCs w:val="20"/>
        </w:rPr>
      </w:pPr>
      <w:r>
        <w:rPr>
          <w:sz w:val="20"/>
          <w:szCs w:val="20"/>
        </w:rPr>
        <w:t>The Partnership’s obligations under the 2024 Senior Notes, 2025 Senior Notes and 2027 Senior Notes (collectively, the “Senior Notes”</w:t>
      </w:r>
      <w:r>
        <w:rPr>
          <w:sz w:val="20"/>
          <w:szCs w:val="20"/>
        </w:rPr>
        <w:t>) are unsecured and rank senior in right of payment to any future subordinated indebtedness and equally in right of payment with any future senior indebtedness.  The Senior Notes are structurally subordinated to, which means they rank effectively behind, a</w:t>
      </w:r>
      <w:r>
        <w:rPr>
          <w:sz w:val="20"/>
          <w:szCs w:val="20"/>
        </w:rPr>
        <w:t>ny debt and other liabilities of the Operating Partnership.  The Partnership is permitted to redeem some or all of the Senior Notes at redemption prices and times as specified in the indentures governing the Senior Notes.  The Senior Notes each have a chan</w:t>
      </w:r>
      <w:r>
        <w:rPr>
          <w:sz w:val="20"/>
          <w:szCs w:val="20"/>
        </w:rPr>
        <w:t>ge of control provision that would require the Partnership to offer to repurchase the notes at 101% of the principal amount repurchased, if a change of control, as defined in the indenture, occurs and is followed by a rating decline (a decrease in the rati</w:t>
      </w:r>
      <w:r>
        <w:rPr>
          <w:sz w:val="20"/>
          <w:szCs w:val="20"/>
        </w:rPr>
        <w:t>ng of the notes by either Moody’s Investors Service or Standard and Poor’s Rating Group by one or more gradations) within 90 days of the consummation of the change of control.</w:t>
      </w:r>
    </w:p>
    <w:p w:rsidR="00000000" w:rsidRDefault="00827839">
      <w:pPr>
        <w:pStyle w:val="a3"/>
        <w:spacing w:before="360" w:beforeAutospacing="0" w:after="0" w:afterAutospacing="0"/>
        <w:jc w:val="both"/>
        <w:rPr>
          <w:b/>
          <w:bCs/>
          <w:sz w:val="20"/>
          <w:szCs w:val="20"/>
        </w:rPr>
      </w:pPr>
      <w:r>
        <w:rPr>
          <w:b/>
          <w:bCs/>
          <w:sz w:val="20"/>
          <w:szCs w:val="20"/>
        </w:rPr>
        <w:t xml:space="preserve">Credit Agreement </w:t>
      </w:r>
    </w:p>
    <w:p w:rsidR="00000000" w:rsidRDefault="00827839">
      <w:pPr>
        <w:pStyle w:val="a3"/>
        <w:spacing w:before="120" w:beforeAutospacing="0" w:after="0" w:afterAutospacing="0"/>
        <w:jc w:val="both"/>
        <w:rPr>
          <w:sz w:val="20"/>
          <w:szCs w:val="20"/>
        </w:rPr>
      </w:pPr>
      <w:r>
        <w:rPr>
          <w:sz w:val="20"/>
          <w:szCs w:val="20"/>
        </w:rPr>
        <w:t>The Operating Partnership has an amended and restated credit a</w:t>
      </w:r>
      <w:r>
        <w:rPr>
          <w:sz w:val="20"/>
          <w:szCs w:val="20"/>
        </w:rPr>
        <w:t>greement, dated March 3, 2016 and further amended on May 1, 2017 (the “Amended Credit Agreement”) that provides for a</w:t>
      </w:r>
      <w:r>
        <w:rPr>
          <w:sz w:val="20"/>
          <w:szCs w:val="20"/>
        </w:rPr>
        <w:t xml:space="preserve"> </w:t>
      </w:r>
      <w:r>
        <w:rPr>
          <w:sz w:val="20"/>
          <w:szCs w:val="20"/>
        </w:rPr>
        <w:t>five-yea</w:t>
      </w:r>
      <w:r>
        <w:rPr>
          <w:sz w:val="20"/>
          <w:szCs w:val="20"/>
        </w:rPr>
        <w:t>r</w:t>
      </w:r>
      <w:r>
        <w:rPr>
          <w:sz w:val="20"/>
          <w:szCs w:val="20"/>
        </w:rPr>
        <w:t xml:space="preserve"> $500,000 revolving credit facility (the “Revolving Credit Facility”) with a maturity date of March 3, 2021, of which $113,500 an</w:t>
      </w:r>
      <w:r>
        <w:rPr>
          <w:sz w:val="20"/>
          <w:szCs w:val="20"/>
        </w:rPr>
        <w:t>d $143,600 was outstanding as of September 28, 2019 and September 29, 2018, respectively.  Borrowings under the Revolving Credit Facility may be used for general corporate purposes, including working capital, capital expenditures and acquisitions.  The Ope</w:t>
      </w:r>
      <w:r>
        <w:rPr>
          <w:sz w:val="20"/>
          <w:szCs w:val="20"/>
        </w:rPr>
        <w:t>rating Partnership has the right to prepay any borrowings under the Revolving Credit Facility, in whole or in part, without penalty at any time prior to maturity.  </w:t>
      </w:r>
    </w:p>
    <w:p w:rsidR="00000000" w:rsidRDefault="00827839">
      <w:pPr>
        <w:pStyle w:val="a3"/>
        <w:spacing w:before="240" w:beforeAutospacing="0" w:after="0" w:afterAutospacing="0"/>
        <w:jc w:val="both"/>
        <w:rPr>
          <w:sz w:val="20"/>
          <w:szCs w:val="20"/>
        </w:rPr>
      </w:pPr>
      <w:r>
        <w:rPr>
          <w:sz w:val="20"/>
          <w:szCs w:val="20"/>
        </w:rPr>
        <w:t>The Amended Credit Agreement contains certain restrictive and affirmative covenants applica</w:t>
      </w:r>
      <w:r>
        <w:rPr>
          <w:sz w:val="20"/>
          <w:szCs w:val="20"/>
        </w:rPr>
        <w:t xml:space="preserve">ble to the Operating Partnership, its subsidiaries and the Partnership, as well as certain financial covenants, including (a) requiring the Partnership’s Consolidated Interest Coverage Ratio, as defined in the Amended Credit Agreement, to be not less than </w:t>
      </w:r>
      <w:r>
        <w:rPr>
          <w:sz w:val="20"/>
          <w:szCs w:val="20"/>
        </w:rPr>
        <w:t>2.5 to 1.0 as of the end of any fiscal quarter, (b) prohibiting the Total Consolidated Leverage Ratio, as defined in the Amended Credit Agreement, of the Partnership from being greater than 5.75 to 1.0 for the fiscal quarter ending in September 2018, and 5</w:t>
      </w:r>
      <w:r>
        <w:rPr>
          <w:sz w:val="20"/>
          <w:szCs w:val="20"/>
        </w:rPr>
        <w:t>.5 to 1.0 for the fiscal quarter ending in December 2018 and for each fiscal quarter thereafter, and (c) prohibiting the Senior Secured Consolidated Leverage Ratio, as defined in the Amended Credit Agreement, of the Operating Partnership from being greater</w:t>
      </w:r>
      <w:r>
        <w:rPr>
          <w:sz w:val="20"/>
          <w:szCs w:val="20"/>
        </w:rPr>
        <w:t xml:space="preserve"> than 3.0 to 1.0 as of the end of any fiscal quarter.  </w:t>
      </w:r>
    </w:p>
    <w:p w:rsidR="00000000" w:rsidRDefault="00827839">
      <w:pPr>
        <w:pStyle w:val="a3"/>
        <w:spacing w:before="240" w:beforeAutospacing="0" w:after="0" w:afterAutospacing="0"/>
        <w:jc w:val="both"/>
        <w:rPr>
          <w:sz w:val="20"/>
          <w:szCs w:val="20"/>
        </w:rPr>
      </w:pPr>
      <w:r>
        <w:rPr>
          <w:sz w:val="20"/>
          <w:szCs w:val="20"/>
        </w:rPr>
        <w:t xml:space="preserve">The Partnership and certain subsidiaries of the Operating Partnership act as guarantors with respect to the obligations of the Operating Partnership under the Amended Credit Agreement pursuant to the </w:t>
      </w:r>
      <w:r>
        <w:rPr>
          <w:sz w:val="20"/>
          <w:szCs w:val="20"/>
        </w:rPr>
        <w:t>terms and conditions set forth therein.  The obligations under the Amended Credit Agreement are secured by liens on substantially all of the personal property of the Partnership, the Operating Partnership and their subsidiaries, as well as mortgages on cer</w:t>
      </w:r>
      <w:r>
        <w:rPr>
          <w:sz w:val="20"/>
          <w:szCs w:val="20"/>
        </w:rPr>
        <w:t>tain real property.</w:t>
      </w:r>
    </w:p>
    <w:p w:rsidR="00000000" w:rsidRDefault="00827839">
      <w:pPr>
        <w:pStyle w:val="a3"/>
        <w:spacing w:before="240" w:beforeAutospacing="0" w:after="0" w:afterAutospacing="0"/>
        <w:jc w:val="both"/>
        <w:rPr>
          <w:sz w:val="20"/>
          <w:szCs w:val="20"/>
        </w:rPr>
      </w:pPr>
      <w:r>
        <w:rPr>
          <w:sz w:val="20"/>
          <w:szCs w:val="20"/>
        </w:rPr>
        <w:t>Borrowings under the Revolving Credit Facility bear interest at prevailing interest rates based upon, at the Operating Partnership’s option, LIBOR plus the Applicable Rate, or the base rate, defined as the higher of the Federal Funds Ra</w:t>
      </w:r>
      <w:r>
        <w:rPr>
          <w:sz w:val="20"/>
          <w:szCs w:val="20"/>
        </w:rPr>
        <w:t>te plus</w:t>
      </w:r>
      <w:r>
        <w:rPr>
          <w:sz w:val="20"/>
          <w:szCs w:val="20"/>
        </w:rPr>
        <w:t xml:space="preserve"> </w:t>
      </w:r>
      <w:r>
        <w:rPr>
          <w:sz w:val="20"/>
          <w:szCs w:val="20"/>
        </w:rPr>
        <w:t>½</w:t>
      </w:r>
      <w:r>
        <w:rPr>
          <w:sz w:val="20"/>
          <w:szCs w:val="20"/>
        </w:rPr>
        <w:t xml:space="preserve"> of 1%, the administrative agent bank’s prime rate, or LIBOR plus 1%, plus in each case the Applicable Rate.  The Applicable Rate is dependent upon the Partnership’s Total Consolidated Leverage Ratio.  As of September 28, 2019, the interest rate f</w:t>
      </w:r>
      <w:r>
        <w:rPr>
          <w:sz w:val="20"/>
          <w:szCs w:val="20"/>
        </w:rPr>
        <w:t>or borrowings under the Revolving Credit Facility was approximately 4.5%.  The interest rate and the Applicable Rate will be reset following the end of each calendar quarter.</w:t>
      </w:r>
    </w:p>
    <w:p w:rsidR="00000000" w:rsidRDefault="00827839">
      <w:pPr>
        <w:pStyle w:val="a3"/>
        <w:spacing w:before="240" w:beforeAutospacing="0" w:after="0" w:afterAutospacing="0"/>
        <w:jc w:val="both"/>
        <w:rPr>
          <w:sz w:val="20"/>
          <w:szCs w:val="20"/>
        </w:rPr>
      </w:pPr>
      <w:r>
        <w:rPr>
          <w:sz w:val="20"/>
          <w:szCs w:val="20"/>
        </w:rPr>
        <w:t>In connection with a previous credit agreement, the Operating Partnership had entered into an interest rate swap agreement with a notional amount of $100,000, an effective date of June 25, 2013 and a termination date of January 5, 2017.  Under this interes</w:t>
      </w:r>
      <w:r>
        <w:rPr>
          <w:sz w:val="20"/>
          <w:szCs w:val="20"/>
        </w:rPr>
        <w:t>t rate swap agreement, the Operating Partnership paid a fixed interest rate of 1.63% to the issuing lender on the notional principal amount outstanding, and the issuing lender paid the Operating Partnership a floating rate, namely LIBOR, on the same notion</w:t>
      </w:r>
      <w:r>
        <w:rPr>
          <w:sz w:val="20"/>
          <w:szCs w:val="20"/>
        </w:rPr>
        <w:t>al principal amount.  The interest rate swap was designated as a cash flow hedge.  The Partnership did not enter into a new interest rate swap agreement upon termination.</w:t>
      </w:r>
    </w:p>
    <w:p w:rsidR="00000000" w:rsidRDefault="00827839">
      <w:pPr>
        <w:pStyle w:val="a3"/>
        <w:spacing w:before="240" w:beforeAutospacing="0" w:after="0" w:afterAutospacing="0"/>
        <w:jc w:val="both"/>
        <w:rPr>
          <w:sz w:val="20"/>
          <w:szCs w:val="20"/>
        </w:rPr>
      </w:pPr>
      <w:r>
        <w:rPr>
          <w:sz w:val="20"/>
          <w:szCs w:val="20"/>
        </w:rPr>
        <w:t xml:space="preserve">As of September 28, 2019, the Partnership had standby letters of credit issued under </w:t>
      </w:r>
      <w:r>
        <w:rPr>
          <w:sz w:val="20"/>
          <w:szCs w:val="20"/>
        </w:rPr>
        <w:t>the Revolving Credit Facility of $65,826 which expire periodically through November 1, 2020.</w:t>
      </w:r>
    </w:p>
    <w:p w:rsidR="00000000" w:rsidRDefault="00827839">
      <w:pPr>
        <w:pStyle w:val="a3"/>
        <w:spacing w:before="240" w:beforeAutospacing="0" w:after="0" w:afterAutospacing="0"/>
        <w:jc w:val="both"/>
        <w:rPr>
          <w:sz w:val="20"/>
          <w:szCs w:val="20"/>
        </w:rPr>
      </w:pPr>
      <w:r>
        <w:rPr>
          <w:sz w:val="20"/>
          <w:szCs w:val="20"/>
        </w:rPr>
        <w:t>The Amended Credit Agreement and the Senior Notes both contain various restrictive and affirmative covenants applicable to the Operating Partnership, its subsidiar</w:t>
      </w:r>
      <w:r>
        <w:rPr>
          <w:sz w:val="20"/>
          <w:szCs w:val="20"/>
        </w:rPr>
        <w:t>ies and the Partnership, respectively, including (i) restrictions on the incurrence of additional indebtedness, and (ii) restrictions on certain liens, investments, guarantees, loans, advances, payments, mergers, consolidations, distributions, sales of ass</w:t>
      </w:r>
      <w:r>
        <w:rPr>
          <w:sz w:val="20"/>
          <w:szCs w:val="20"/>
        </w:rPr>
        <w:t>ets and other transactions.  Under the Amended Credit Agreement and the indentures governing the Senior Notes, the Operating Partnership and the Partnership are generally permitted to make cash distributions equal to available cash, as defined, as of the e</w:t>
      </w:r>
      <w:r>
        <w:rPr>
          <w:sz w:val="20"/>
          <w:szCs w:val="20"/>
        </w:rPr>
        <w:t xml:space="preserve">nd of the immediately preceding quarter, if no event of default exists or would exist upon making such distributions, and with respect to the indentures governing the Senior Notes, the Partnership’s Consolidated Fixed Charge Coverage Ratio, as defined, is </w:t>
      </w:r>
      <w:r>
        <w:rPr>
          <w:sz w:val="20"/>
          <w:szCs w:val="20"/>
        </w:rPr>
        <w:t>greater than 1.75 to 1.  The Partnership and the Operating Partnership were in compliance with all covenants and terms of the Senior Notes and the Amended Credit Agreement as of September 28, 2019.</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F-21</w:t>
      </w:r>
    </w:p>
    <w:p w:rsidR="00000000" w:rsidRDefault="00827839">
      <w:pPr>
        <w:rPr>
          <w:rFonts w:eastAsia="Times New Roman"/>
        </w:rPr>
      </w:pPr>
      <w:r>
        <w:rPr>
          <w:rFonts w:eastAsia="Times New Roman"/>
        </w:rPr>
        <w:pict>
          <v:rect id="_x0000_i1136"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sz w:val="20"/>
          <w:szCs w:val="20"/>
        </w:rPr>
      </w:pPr>
      <w:r>
        <w:rPr>
          <w:sz w:val="20"/>
          <w:szCs w:val="20"/>
        </w:rPr>
        <w:t>Debt origina</w:t>
      </w:r>
      <w:r>
        <w:rPr>
          <w:sz w:val="20"/>
          <w:szCs w:val="20"/>
        </w:rPr>
        <w:t>tion costs representing the costs incurred in connection with the placement of, and the subsequent amendment to, the Amended Credit Agreement are capitalized within other assets and amortized on a straight-line basis over the term of the Amended Credit Agr</w:t>
      </w:r>
      <w:r>
        <w:rPr>
          <w:sz w:val="20"/>
          <w:szCs w:val="20"/>
        </w:rPr>
        <w:t>eement. Debt origination costs associated with the Partnership’s Senior Notes are reflected as a direct deduction from the carrying amount of such debt and amortized on a straight-line basis over the terms of the respective Senior Notes. During fiscal 2017</w:t>
      </w:r>
      <w:r>
        <w:rPr>
          <w:sz w:val="20"/>
          <w:szCs w:val="20"/>
        </w:rPr>
        <w:t>, the Partnership recognized a charge of $1,567 to write-off unamortized debt origination costs associated with the tender offer and redemption of its senior notes due in 2021 and capitalized $6,100 in connection with the issuance of the 2027 Senior Notes.</w:t>
      </w:r>
      <w:r>
        <w:rPr>
          <w:sz w:val="20"/>
          <w:szCs w:val="20"/>
        </w:rPr>
        <w:t>  Other assets at September 28, 2019 and September 29, 2018 include debt origination costs associated with our Amended Credit Agreement with a net carrying amount of $1,550 and $2,644, respectively.</w:t>
      </w:r>
    </w:p>
    <w:p w:rsidR="00000000" w:rsidRDefault="00827839">
      <w:pPr>
        <w:pStyle w:val="a3"/>
        <w:spacing w:before="240" w:beforeAutospacing="0" w:after="0" w:afterAutospacing="0"/>
        <w:jc w:val="both"/>
        <w:rPr>
          <w:sz w:val="20"/>
          <w:szCs w:val="20"/>
        </w:rPr>
      </w:pPr>
      <w:r>
        <w:rPr>
          <w:sz w:val="20"/>
          <w:szCs w:val="20"/>
        </w:rPr>
        <w:t>The aggregate amounts of long-term debt maturities subseq</w:t>
      </w:r>
      <w:r>
        <w:rPr>
          <w:sz w:val="20"/>
          <w:szCs w:val="20"/>
        </w:rPr>
        <w:t>uent to September 28, 2019 are as follows: fiscal 2020: $-0-; fiscal 2021: $113,500; fiscal 2022: $-0-; fiscal 2023: $-0-; fiscal 2024: $525,000; and thereafter: $600,000.</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63087362"/>
        </w:trPr>
        <w:tc>
          <w:tcPr>
            <w:tcW w:w="227" w:type="pct"/>
            <w:noWrap/>
            <w:hideMark/>
          </w:tcPr>
          <w:p w:rsidR="00000000" w:rsidRDefault="00827839">
            <w:pPr>
              <w:pStyle w:val="a3"/>
              <w:spacing w:before="160" w:beforeAutospacing="0" w:after="0" w:afterAutospacing="0"/>
              <w:rPr>
                <w:b/>
                <w:bCs/>
                <w:sz w:val="20"/>
                <w:szCs w:val="20"/>
              </w:rPr>
            </w:pPr>
            <w:r>
              <w:rPr>
                <w:b/>
                <w:bCs/>
                <w:sz w:val="20"/>
                <w:szCs w:val="20"/>
              </w:rPr>
              <w:t>10.</w:t>
            </w:r>
          </w:p>
        </w:tc>
        <w:tc>
          <w:tcPr>
            <w:tcW w:w="0" w:type="auto"/>
            <w:hideMark/>
          </w:tcPr>
          <w:p w:rsidR="00000000" w:rsidRDefault="00827839">
            <w:pPr>
              <w:pStyle w:val="a3"/>
              <w:spacing w:before="160" w:beforeAutospacing="0" w:after="0" w:afterAutospacing="0"/>
              <w:rPr>
                <w:b/>
                <w:bCs/>
                <w:sz w:val="20"/>
                <w:szCs w:val="20"/>
              </w:rPr>
            </w:pPr>
            <w:r>
              <w:rPr>
                <w:b/>
                <w:bCs/>
                <w:sz w:val="20"/>
                <w:szCs w:val="20"/>
              </w:rPr>
              <w:t>Unit-Based Compensation Arrangements</w:t>
            </w:r>
          </w:p>
        </w:tc>
      </w:tr>
    </w:tbl>
    <w:p w:rsidR="00000000" w:rsidRDefault="00827839">
      <w:pPr>
        <w:pStyle w:val="a3"/>
        <w:spacing w:before="120" w:beforeAutospacing="0" w:after="0" w:afterAutospacing="0"/>
        <w:jc w:val="both"/>
        <w:rPr>
          <w:sz w:val="20"/>
          <w:szCs w:val="20"/>
        </w:rPr>
      </w:pPr>
      <w:r>
        <w:rPr>
          <w:sz w:val="20"/>
          <w:szCs w:val="20"/>
        </w:rPr>
        <w:t xml:space="preserve">As described in Note 2, the Partnership </w:t>
      </w:r>
      <w:r>
        <w:rPr>
          <w:sz w:val="20"/>
          <w:szCs w:val="20"/>
        </w:rPr>
        <w:t>recognizes compensation cost over the respective service period for employee services received in exchange for an award of equity, or equity-based compensation, based on the grant date fair value of the award.  The Partnership measures liability awards und</w:t>
      </w:r>
      <w:r>
        <w:rPr>
          <w:sz w:val="20"/>
          <w:szCs w:val="20"/>
        </w:rPr>
        <w:t>er an equity-based payment arrangement based on remeasurement of the award’s fair value at the conclusion of each interim and annual reporting period until the date of settlement, taking into consideration the probability that the performance conditions wi</w:t>
      </w:r>
      <w:r>
        <w:rPr>
          <w:sz w:val="20"/>
          <w:szCs w:val="20"/>
        </w:rPr>
        <w:t>ll be satisfied.</w:t>
      </w:r>
    </w:p>
    <w:p w:rsidR="00000000" w:rsidRDefault="00827839">
      <w:pPr>
        <w:pStyle w:val="a3"/>
        <w:spacing w:before="240" w:beforeAutospacing="0" w:after="0" w:afterAutospacing="0"/>
        <w:jc w:val="both"/>
        <w:rPr>
          <w:b/>
          <w:bCs/>
          <w:sz w:val="20"/>
          <w:szCs w:val="20"/>
        </w:rPr>
      </w:pPr>
      <w:r>
        <w:rPr>
          <w:b/>
          <w:bCs/>
          <w:sz w:val="20"/>
          <w:szCs w:val="20"/>
        </w:rPr>
        <w:t>Restricted Unit Plans.</w:t>
      </w:r>
      <w:r>
        <w:rPr>
          <w:sz w:val="20"/>
          <w:szCs w:val="20"/>
        </w:rPr>
        <w:t>  On July 22, 2009, the Partnership adopted the Suburban Propane Partners, L.P. 2009 Restricted Unit Plan, as amended (the “2009 Restricted Unit Plan”), which authorizes the issuance of Common Units to executives, man</w:t>
      </w:r>
      <w:r>
        <w:rPr>
          <w:sz w:val="20"/>
          <w:szCs w:val="20"/>
        </w:rPr>
        <w:t xml:space="preserve">agers and other employees and members of the Board of Supervisors of the Partnership.  The total number of Common Units authorized for issuance under the 2009 Restricted Unit Plan was 2,400,000 as of July 31, 2019, the date on which this plan expired.  At </w:t>
      </w:r>
      <w:r>
        <w:rPr>
          <w:sz w:val="20"/>
          <w:szCs w:val="20"/>
        </w:rPr>
        <w:t xml:space="preserve">the Partnership’s Tri-Annual Meeting held on May 15, 2018, the Unitholders approved the Partnership’s 2018 Restricted Unit Plan authorizing the issuance of up to 1,800,000 Common Units (the “2018 Restricted Unit Plan” and together with the 2009 Restricted </w:t>
      </w:r>
      <w:r>
        <w:rPr>
          <w:sz w:val="20"/>
          <w:szCs w:val="20"/>
        </w:rPr>
        <w:t>Unit Plan, from which there are still unvested awards outstanding, the “Restricted Unit Plans”).  Unless otherwise stipulated by the Compensation Committee of the Partnership’s Board of Supervisors on or before the grant date, 33.33% of all outstanding awa</w:t>
      </w:r>
      <w:r>
        <w:rPr>
          <w:sz w:val="20"/>
          <w:szCs w:val="20"/>
        </w:rPr>
        <w:t>rds under the Restricted Unit Plans will vest on each of the first three anniversaries of the award grant date.  Participants in the Restricted Unit Plans are not eligible to receive quarterly distributions on, or vote, their respective restricted units un</w:t>
      </w:r>
      <w:r>
        <w:rPr>
          <w:sz w:val="20"/>
          <w:szCs w:val="20"/>
        </w:rPr>
        <w:t>til vested.  Restricted units cannot be sold or transferred prior to vesting. The value of each restricted unit is established by the market price of the Common Unit on the date of grant, net of estimated future distributions during the vesting period.  Re</w:t>
      </w:r>
      <w:r>
        <w:rPr>
          <w:sz w:val="20"/>
          <w:szCs w:val="20"/>
        </w:rPr>
        <w:t>stricted units are subject to forfeiture in certain circumstances as defined in the Restricted Unit Plans. Compensation expense for the unvested awards is recognized ratably over the vesting periods and is net of estimated forfeitures.</w:t>
      </w:r>
    </w:p>
    <w:p w:rsidR="00000000" w:rsidRDefault="00827839">
      <w:pPr>
        <w:pStyle w:val="a3"/>
        <w:spacing w:before="240" w:beforeAutospacing="0" w:after="0" w:afterAutospacing="0"/>
        <w:jc w:val="both"/>
        <w:rPr>
          <w:sz w:val="20"/>
          <w:szCs w:val="20"/>
        </w:rPr>
      </w:pPr>
      <w:r>
        <w:rPr>
          <w:sz w:val="20"/>
          <w:szCs w:val="20"/>
        </w:rPr>
        <w:t>The following is a s</w:t>
      </w:r>
      <w:r>
        <w:rPr>
          <w:sz w:val="20"/>
          <w:szCs w:val="20"/>
        </w:rPr>
        <w:t>ummary of activity in the Restricted Unit Plans:</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2"/>
        <w:gridCol w:w="65"/>
        <w:gridCol w:w="65"/>
        <w:gridCol w:w="732"/>
        <w:gridCol w:w="82"/>
        <w:gridCol w:w="65"/>
        <w:gridCol w:w="116"/>
        <w:gridCol w:w="1185"/>
        <w:gridCol w:w="82"/>
      </w:tblGrid>
      <w:tr w:rsidR="00000000">
        <w:trPr>
          <w:divId w:val="236091666"/>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Weighted</w:t>
            </w:r>
            <w:r>
              <w:rPr>
                <w:rFonts w:ascii="Calibri" w:hAnsi="Calibri" w:cs="Calibri"/>
                <w:b/>
                <w:bCs/>
                <w:color w:val="000000"/>
                <w:sz w:val="16"/>
                <w:szCs w:val="16"/>
              </w:rPr>
              <w:t> </w:t>
            </w: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236091666"/>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Grant Date Fair</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36091666"/>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Units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Value Per Unit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36091666"/>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Outstanding September 24, 2016</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654,120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26.74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36091666"/>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Awarded</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323,715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36091666"/>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Forfeited</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(6,737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(23.51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36091666"/>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Vested </w:t>
            </w:r>
            <w:r>
              <w:rPr>
                <w:color w:val="000000"/>
                <w:sz w:val="16"/>
                <w:szCs w:val="16"/>
              </w:rPr>
              <w:t>(1)</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(350,053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(29.74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36091666"/>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Outstanding September 30, 2017</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621,045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36091666"/>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Awarded</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424,431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19.52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36091666"/>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Forfeited</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(14,092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36091666"/>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Vested </w:t>
            </w:r>
            <w:r>
              <w:rPr>
                <w:color w:val="000000"/>
                <w:sz w:val="16"/>
                <w:szCs w:val="16"/>
              </w:rPr>
              <w:t>(1)</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(335,253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(24.39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36091666"/>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Outstanding September 29, 2018</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696,131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19.47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36091666"/>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Awarded</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618,268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36091666"/>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Forfeited</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(5,904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36091666"/>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Vested </w:t>
            </w:r>
            <w:r>
              <w:rPr>
                <w:color w:val="000000"/>
                <w:sz w:val="16"/>
                <w:szCs w:val="16"/>
              </w:rPr>
              <w:t>(1)</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(320,156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36091666"/>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Outstanding September 28, 2019</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988,339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36842404"/>
        </w:trPr>
        <w:tc>
          <w:tcPr>
            <w:tcW w:w="227" w:type="pct"/>
            <w:noWrap/>
            <w:hideMark/>
          </w:tcPr>
          <w:p w:rsidR="00000000" w:rsidRDefault="00827839">
            <w:pPr>
              <w:pStyle w:val="a3"/>
              <w:spacing w:before="0" w:beforeAutospacing="0" w:after="0" w:afterAutospacing="0"/>
              <w:jc w:val="both"/>
              <w:rPr>
                <w:sz w:val="20"/>
                <w:szCs w:val="20"/>
              </w:rPr>
            </w:pPr>
            <w:r>
              <w:rPr>
                <w:sz w:val="20"/>
                <w:szCs w:val="20"/>
              </w:rPr>
              <w:t>(1)</w:t>
            </w:r>
          </w:p>
        </w:tc>
        <w:tc>
          <w:tcPr>
            <w:tcW w:w="0" w:type="auto"/>
            <w:hideMark/>
          </w:tcPr>
          <w:p w:rsidR="00000000" w:rsidRDefault="00827839">
            <w:pPr>
              <w:pStyle w:val="a3"/>
              <w:spacing w:before="0" w:beforeAutospacing="0" w:after="0" w:afterAutospacing="0"/>
              <w:jc w:val="both"/>
              <w:rPr>
                <w:sz w:val="20"/>
                <w:szCs w:val="20"/>
              </w:rPr>
            </w:pPr>
            <w:r>
              <w:rPr>
                <w:sz w:val="20"/>
                <w:szCs w:val="20"/>
              </w:rPr>
              <w:t xml:space="preserve">During fiscal 2019, 2018 and 2017, the Partnership withheld 59,227, 34,388 and 34,883 Common Units, respectively, from participants for income tax withholding purposes for those executive officers of the Partnership whose shares of restricted units vested </w:t>
            </w:r>
            <w:r>
              <w:rPr>
                <w:sz w:val="20"/>
                <w:szCs w:val="20"/>
              </w:rPr>
              <w:t>during the period.</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F-22</w:t>
      </w:r>
    </w:p>
    <w:p w:rsidR="00000000" w:rsidRDefault="00827839">
      <w:pPr>
        <w:rPr>
          <w:rFonts w:eastAsia="Times New Roman"/>
        </w:rPr>
      </w:pPr>
      <w:r>
        <w:rPr>
          <w:rFonts w:eastAsia="Times New Roman"/>
        </w:rPr>
        <w:pict>
          <v:rect id="_x0000_i1137"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40" w:beforeAutospacing="0" w:after="0" w:afterAutospacing="0"/>
        <w:jc w:val="both"/>
        <w:rPr>
          <w:sz w:val="20"/>
          <w:szCs w:val="20"/>
        </w:rPr>
      </w:pPr>
      <w:r>
        <w:rPr>
          <w:sz w:val="20"/>
          <w:szCs w:val="20"/>
        </w:rPr>
        <w:t>As of September 28, 2019, unrecognized compensation cost related to unvested restricted units awarded under the Restricted Unit Plans amounted to $3,660. Compensation cost associated with the unvested awards is expecte</w:t>
      </w:r>
      <w:r>
        <w:rPr>
          <w:sz w:val="20"/>
          <w:szCs w:val="20"/>
        </w:rPr>
        <w:t>d to be recognized over a weighted-average period of 1.2 years.  Compensation expense for the Restricted Unit Plans for fiscal 2019, 2018 and 2017 was $10,521, $8,198 and $7,286, respectively.</w:t>
      </w:r>
    </w:p>
    <w:p w:rsidR="00000000" w:rsidRDefault="00827839">
      <w:pPr>
        <w:pStyle w:val="a3"/>
        <w:spacing w:before="240" w:beforeAutospacing="0" w:after="0" w:afterAutospacing="0"/>
        <w:jc w:val="both"/>
        <w:rPr>
          <w:b/>
          <w:bCs/>
          <w:sz w:val="20"/>
          <w:szCs w:val="20"/>
        </w:rPr>
      </w:pPr>
      <w:r>
        <w:rPr>
          <w:b/>
          <w:bCs/>
          <w:sz w:val="20"/>
          <w:szCs w:val="20"/>
        </w:rPr>
        <w:t>Distribution Equivalent Rights Plan.</w:t>
      </w:r>
      <w:r>
        <w:rPr>
          <w:sz w:val="20"/>
          <w:szCs w:val="20"/>
        </w:rPr>
        <w:t xml:space="preserve">  On January 17, 2017, the </w:t>
      </w:r>
      <w:r>
        <w:rPr>
          <w:sz w:val="20"/>
          <w:szCs w:val="20"/>
        </w:rPr>
        <w:t>Partnership adopted the Distribution Equivalent Rights Plan (the “DER Plan”), which gives the Compensation Committee of the Partnership’s Board of Supervisors discretion to award distribution equivalent rights (“DERs”) to executive officers of the Partners</w:t>
      </w:r>
      <w:r>
        <w:rPr>
          <w:sz w:val="20"/>
          <w:szCs w:val="20"/>
        </w:rPr>
        <w:t>hip.  Once awarded, DERs entitle the grantee to a cash payment each time the Board of Supervisors declares a cash distribution on the Partnership’s Common Units, which cash payment will be equal to an amount calculated by multiplying the number of unvested</w:t>
      </w:r>
      <w:r>
        <w:rPr>
          <w:sz w:val="20"/>
          <w:szCs w:val="20"/>
        </w:rPr>
        <w:t xml:space="preserve"> restricted units which are held by the grantee on the record date of the distribution, by the amount of the declared distribution per Common Unit.  Compensation expense recognized under the DER Plan was $1,048 and $810 for fiscal 2019 and 2018, respective</w:t>
      </w:r>
      <w:r>
        <w:rPr>
          <w:sz w:val="20"/>
          <w:szCs w:val="20"/>
        </w:rPr>
        <w:t>ly.</w:t>
      </w:r>
    </w:p>
    <w:p w:rsidR="00000000" w:rsidRDefault="00827839">
      <w:pPr>
        <w:pStyle w:val="a3"/>
        <w:spacing w:before="240" w:beforeAutospacing="0" w:after="0" w:afterAutospacing="0"/>
        <w:jc w:val="both"/>
        <w:rPr>
          <w:b/>
          <w:bCs/>
          <w:sz w:val="20"/>
          <w:szCs w:val="20"/>
        </w:rPr>
      </w:pPr>
      <w:r>
        <w:rPr>
          <w:b/>
          <w:bCs/>
          <w:sz w:val="20"/>
          <w:szCs w:val="20"/>
        </w:rPr>
        <w:t>Long-Term Incentive Plan.</w:t>
      </w:r>
      <w:r>
        <w:rPr>
          <w:sz w:val="20"/>
          <w:szCs w:val="20"/>
        </w:rPr>
        <w:t>  </w:t>
      </w:r>
      <w:r>
        <w:rPr>
          <w:color w:val="000000"/>
          <w:sz w:val="20"/>
          <w:szCs w:val="20"/>
        </w:rPr>
        <w:t>On August 6, 2013, the Partnership adopted the 2014 Long-Term Incentive Plan (“LTIP”).  The LTIP is a non-qualified, unfunded, long-term incentive plan for executive officers and key employees that provides for payment, in th</w:t>
      </w:r>
      <w:r>
        <w:rPr>
          <w:color w:val="000000"/>
          <w:sz w:val="20"/>
          <w:szCs w:val="20"/>
        </w:rPr>
        <w:t>e form of cash, of an award of equity-based compensation at the end of a three-year performance period.  The level of compensation earned under the LTIP is based on the Partnership’s average distribution coverage ratio over the three-year measurement perio</w:t>
      </w:r>
      <w:r>
        <w:rPr>
          <w:color w:val="000000"/>
          <w:sz w:val="20"/>
          <w:szCs w:val="20"/>
        </w:rPr>
        <w:t xml:space="preserve">d.  The Partnership’s average distribution coverage ratio is calculated as the Partnership’s average distributable cash flow, as defined by the LTIP, for each of the three years in the measurement period, subject to certain adjustments as set forth in the </w:t>
      </w:r>
      <w:r>
        <w:rPr>
          <w:color w:val="000000"/>
          <w:sz w:val="20"/>
          <w:szCs w:val="20"/>
        </w:rPr>
        <w:t xml:space="preserve">LTIP, divided by the amount of annualized cash distributions to be paid by the Partnership. </w:t>
      </w:r>
      <w:r>
        <w:rPr>
          <w:sz w:val="20"/>
          <w:szCs w:val="20"/>
        </w:rPr>
        <w:t>Compensation expense (income), which includes adjustments to previously recognized compensation expense (income) for current period changes in the fair value of unv</w:t>
      </w:r>
      <w:r>
        <w:rPr>
          <w:sz w:val="20"/>
          <w:szCs w:val="20"/>
        </w:rPr>
        <w:t>ested awards, for fiscal 2019, 2018 and 2017 was $5,385, $3,180 and ($389), respectively.  There were no cash payouts in fiscal 2019, 2018 and 2017, which related to the fiscal 2016, 2015 and 2014 awards.</w:t>
      </w:r>
      <w:r>
        <w:rPr>
          <w:b/>
          <w:bCs/>
          <w:sz w:val="20"/>
          <w:szCs w:val="20"/>
        </w:rPr>
        <w:t xml:space="preserve"> </w:t>
      </w:r>
    </w:p>
    <w:p w:rsidR="00000000" w:rsidRDefault="00827839">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29361188"/>
        </w:trPr>
        <w:tc>
          <w:tcPr>
            <w:tcW w:w="227" w:type="pct"/>
            <w:noWrap/>
            <w:hideMark/>
          </w:tcPr>
          <w:p w:rsidR="00000000" w:rsidRDefault="00827839">
            <w:pPr>
              <w:pStyle w:val="a3"/>
              <w:spacing w:before="180" w:beforeAutospacing="0" w:after="0" w:afterAutospacing="0"/>
              <w:jc w:val="both"/>
              <w:rPr>
                <w:b/>
                <w:bCs/>
                <w:sz w:val="20"/>
                <w:szCs w:val="20"/>
              </w:rPr>
            </w:pPr>
            <w:r>
              <w:rPr>
                <w:b/>
                <w:bCs/>
                <w:sz w:val="20"/>
                <w:szCs w:val="20"/>
              </w:rPr>
              <w:t>11.</w:t>
            </w:r>
          </w:p>
        </w:tc>
        <w:tc>
          <w:tcPr>
            <w:tcW w:w="0" w:type="auto"/>
            <w:hideMark/>
          </w:tcPr>
          <w:p w:rsidR="00000000" w:rsidRDefault="00827839">
            <w:pPr>
              <w:pStyle w:val="a3"/>
              <w:spacing w:before="180" w:beforeAutospacing="0" w:after="0" w:afterAutospacing="0"/>
              <w:jc w:val="both"/>
              <w:rPr>
                <w:b/>
                <w:bCs/>
                <w:sz w:val="20"/>
                <w:szCs w:val="20"/>
              </w:rPr>
            </w:pPr>
            <w:r>
              <w:rPr>
                <w:b/>
                <w:bCs/>
                <w:sz w:val="20"/>
                <w:szCs w:val="20"/>
              </w:rPr>
              <w:t>Employee Benefit Plans</w:t>
            </w:r>
          </w:p>
        </w:tc>
      </w:tr>
    </w:tbl>
    <w:p w:rsidR="00000000" w:rsidRDefault="00827839">
      <w:pPr>
        <w:pStyle w:val="a3"/>
        <w:spacing w:before="120" w:beforeAutospacing="0" w:after="0" w:afterAutospacing="0"/>
        <w:jc w:val="both"/>
        <w:rPr>
          <w:b/>
          <w:bCs/>
          <w:sz w:val="20"/>
          <w:szCs w:val="20"/>
        </w:rPr>
      </w:pPr>
      <w:r>
        <w:rPr>
          <w:b/>
          <w:bCs/>
          <w:sz w:val="20"/>
          <w:szCs w:val="20"/>
        </w:rPr>
        <w:t>Defined Contribution</w:t>
      </w:r>
      <w:r>
        <w:rPr>
          <w:b/>
          <w:bCs/>
          <w:sz w:val="20"/>
          <w:szCs w:val="20"/>
        </w:rPr>
        <w:t xml:space="preserve"> Plan.</w:t>
      </w:r>
      <w:r>
        <w:rPr>
          <w:sz w:val="20"/>
          <w:szCs w:val="20"/>
        </w:rPr>
        <w:t xml:space="preserve">  The Partnership has an employee Retirement Savings and Investment Plan (the “401(k) Plan”) covering most employees.  Employer matching contributions relating to the 401(k) Plan prior to the 2017 calendar year were a percentage of the participating </w:t>
      </w:r>
      <w:r>
        <w:rPr>
          <w:sz w:val="20"/>
          <w:szCs w:val="20"/>
        </w:rPr>
        <w:t>employees’ elective contributions based on a sliding scale depending on the Partnership’s achievement of annual fiscal performance targets.  Pursuant to an amendment to the 401(k) Plan adopted as of January 1, 2017, the employer contribution will be a matc</w:t>
      </w:r>
      <w:r>
        <w:rPr>
          <w:sz w:val="20"/>
          <w:szCs w:val="20"/>
        </w:rPr>
        <w:t>h of $0.50 on up to 6% of eligible compensation contributed with the opportunity to earn an additional performance-based matching contribution if certain annual fiscal performance targets are achieved.  These contribution costs were $3,782, $3,575 and $4,0</w:t>
      </w:r>
      <w:r>
        <w:rPr>
          <w:sz w:val="20"/>
          <w:szCs w:val="20"/>
        </w:rPr>
        <w:t>41 for fiscal 2019, 2018 and 2017, respectively.</w:t>
      </w:r>
    </w:p>
    <w:p w:rsidR="00000000" w:rsidRDefault="00827839">
      <w:pPr>
        <w:pStyle w:val="a3"/>
        <w:spacing w:before="360" w:beforeAutospacing="0" w:after="0" w:afterAutospacing="0"/>
        <w:jc w:val="both"/>
        <w:rPr>
          <w:b/>
          <w:bCs/>
          <w:sz w:val="20"/>
          <w:szCs w:val="20"/>
        </w:rPr>
      </w:pPr>
      <w:r>
        <w:rPr>
          <w:b/>
          <w:bCs/>
          <w:sz w:val="20"/>
          <w:szCs w:val="20"/>
        </w:rPr>
        <w:t>Defined Pension and Retiree Health and Life Benefits Arrangements</w:t>
      </w:r>
    </w:p>
    <w:p w:rsidR="00000000" w:rsidRDefault="00827839">
      <w:pPr>
        <w:pStyle w:val="a3"/>
        <w:spacing w:before="120" w:beforeAutospacing="0" w:after="0" w:afterAutospacing="0"/>
        <w:jc w:val="both"/>
        <w:rPr>
          <w:b/>
          <w:bCs/>
          <w:sz w:val="20"/>
          <w:szCs w:val="20"/>
        </w:rPr>
      </w:pPr>
      <w:r>
        <w:rPr>
          <w:b/>
          <w:bCs/>
          <w:sz w:val="20"/>
          <w:szCs w:val="20"/>
        </w:rPr>
        <w:t>Pension Benefits.</w:t>
      </w:r>
      <w:r>
        <w:rPr>
          <w:sz w:val="20"/>
          <w:szCs w:val="20"/>
        </w:rPr>
        <w:t>  </w:t>
      </w:r>
      <w:r>
        <w:rPr>
          <w:sz w:val="20"/>
          <w:szCs w:val="20"/>
        </w:rPr>
        <w:t>The Partnership has a noncontributory defined benefit pension plan which was originally designed to cover all eligible employees of the Partnership who met certain requirements as to age and length of service.  Effective January 1, 1998, the Partnership am</w:t>
      </w:r>
      <w:r>
        <w:rPr>
          <w:sz w:val="20"/>
          <w:szCs w:val="20"/>
        </w:rPr>
        <w:t>ended its defined benefit pension plan to provide benefits under a cash balance formula as compared to a final average pay formula which was in effect prior to January 1, 1998.  Effective January 1, 2000, participation in the defined benefit pension plan w</w:t>
      </w:r>
      <w:r>
        <w:rPr>
          <w:sz w:val="20"/>
          <w:szCs w:val="20"/>
        </w:rPr>
        <w:t>as limited to eligible existing participants on that date with no new participants eligible to participate in the plan.  On September 20, 2002, the Board of Supervisors approved an amendment to the defined benefit pension plan whereby, effective January 1,</w:t>
      </w:r>
      <w:r>
        <w:rPr>
          <w:sz w:val="20"/>
          <w:szCs w:val="20"/>
        </w:rPr>
        <w:t xml:space="preserve"> 2003, future service credits ceased and eligible employees receive interest credits only toward their ultimate retirement benefit.  </w:t>
      </w:r>
    </w:p>
    <w:p w:rsidR="00000000" w:rsidRDefault="00827839">
      <w:pPr>
        <w:pStyle w:val="a3"/>
        <w:spacing w:before="240" w:beforeAutospacing="0" w:after="0" w:afterAutospacing="0"/>
        <w:jc w:val="both"/>
        <w:rPr>
          <w:sz w:val="20"/>
          <w:szCs w:val="20"/>
        </w:rPr>
      </w:pPr>
      <w:r>
        <w:rPr>
          <w:sz w:val="20"/>
          <w:szCs w:val="20"/>
        </w:rPr>
        <w:t>Contributions, as needed, are made to a trust maintained by the Partnership.  Contributions to the defined benefit pension</w:t>
      </w:r>
      <w:r>
        <w:rPr>
          <w:sz w:val="20"/>
          <w:szCs w:val="20"/>
        </w:rPr>
        <w:t xml:space="preserve"> plan are made by the Partnership in accordance with the Employee Retirement Income Security Act of 1974 minimum funding standards plus additional amounts made at the discretion of the Partnership, which may be determined from time to time.  Contributions </w:t>
      </w:r>
      <w:r>
        <w:rPr>
          <w:sz w:val="20"/>
          <w:szCs w:val="20"/>
        </w:rPr>
        <w:t>of $5,350, $4,764 and $11,523 were made by the Partnership in fiscal 2019, 2018 and 2017, respectively. In fiscal 2010, the Internal Revenue Service completed its review of the Partnership’s defined benefit pension plan and issued a favorable determination</w:t>
      </w:r>
      <w:r>
        <w:rPr>
          <w:sz w:val="20"/>
          <w:szCs w:val="20"/>
        </w:rPr>
        <w:t xml:space="preserve"> letter pertaining to the cash balance formula.  However, there can be no assurances that future legislative developments will not have an adverse effect on the Partnership’s results of operations or cash flows.</w:t>
      </w:r>
    </w:p>
    <w:p w:rsidR="00000000" w:rsidRDefault="00827839">
      <w:pPr>
        <w:pStyle w:val="a3"/>
        <w:spacing w:before="240" w:beforeAutospacing="0" w:after="0" w:afterAutospacing="0"/>
        <w:jc w:val="both"/>
        <w:rPr>
          <w:b/>
          <w:bCs/>
          <w:sz w:val="20"/>
          <w:szCs w:val="20"/>
        </w:rPr>
      </w:pPr>
      <w:r>
        <w:rPr>
          <w:b/>
          <w:bCs/>
          <w:sz w:val="20"/>
          <w:szCs w:val="20"/>
        </w:rPr>
        <w:t>Retiree Health and Life Benefits.</w:t>
      </w:r>
      <w:r>
        <w:rPr>
          <w:sz w:val="20"/>
          <w:szCs w:val="20"/>
        </w:rPr>
        <w:t>  The Partn</w:t>
      </w:r>
      <w:r>
        <w:rPr>
          <w:sz w:val="20"/>
          <w:szCs w:val="20"/>
        </w:rPr>
        <w:t>ership provides postretirement health care and life insurance benefits for certain retired employees.  Partnership employees hired prior to July 1993 and who retired prior to March 1998 are eligible for postretirement health care benefits if they reached a</w:t>
      </w:r>
      <w:r>
        <w:rPr>
          <w:sz w:val="20"/>
          <w:szCs w:val="20"/>
        </w:rPr>
        <w:t xml:space="preserve"> specified retirement age while working for the Partnership.  Partnership employees hired prior to July 1993 and who retired prior to January 1998 are eligible for life insurance benefits if they reached a specified retirement age while working for the Par</w:t>
      </w:r>
      <w:r>
        <w:rPr>
          <w:sz w:val="20"/>
          <w:szCs w:val="20"/>
        </w:rPr>
        <w:t>tnership.  Effective January 1, 2017, the Partnership terminated postretirement life insurance benefits to all retirees that retired after December 31, 1997.  Effective March 31, 1998, the Partnership froze participation in its postretirement health care b</w:t>
      </w:r>
      <w:r>
        <w:rPr>
          <w:sz w:val="20"/>
          <w:szCs w:val="20"/>
        </w:rPr>
        <w:t>enefit plan, with no new retirees eligible to participate in the plan.  All active employees who were eligible to receive health care benefits under the postretirement plan subsequent to March 1, 1998, were provided an increase to their accumulated benefit</w:t>
      </w:r>
      <w:r>
        <w:rPr>
          <w:sz w:val="20"/>
          <w:szCs w:val="20"/>
        </w:rPr>
        <w:t xml:space="preserve">s under the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F-23</w:t>
      </w:r>
    </w:p>
    <w:p w:rsidR="00000000" w:rsidRDefault="00827839">
      <w:pPr>
        <w:rPr>
          <w:rFonts w:eastAsia="Times New Roman"/>
        </w:rPr>
      </w:pPr>
      <w:r>
        <w:rPr>
          <w:rFonts w:eastAsia="Times New Roman"/>
        </w:rPr>
        <w:pict>
          <v:rect id="_x0000_i1138"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sz w:val="20"/>
          <w:szCs w:val="20"/>
        </w:rPr>
        <w:t xml:space="preserve">cash balance pension plan.  The Partnership’s postretirement health care and life insurance benefit plans are unfunded.  Effective January 1, 2006, the Partnership changed its postretirement health </w:t>
      </w:r>
      <w:r>
        <w:rPr>
          <w:sz w:val="20"/>
          <w:szCs w:val="20"/>
        </w:rPr>
        <w:t>care plan from a self-insured program to one that is fully insured under which the Partnership pays a portion of the insurance premium on behalf of the eligible participants.  </w:t>
      </w:r>
    </w:p>
    <w:p w:rsidR="00000000" w:rsidRDefault="00827839">
      <w:pPr>
        <w:pStyle w:val="a3"/>
        <w:spacing w:before="240" w:beforeAutospacing="0" w:after="0" w:afterAutospacing="0"/>
        <w:jc w:val="both"/>
        <w:rPr>
          <w:sz w:val="20"/>
          <w:szCs w:val="20"/>
        </w:rPr>
      </w:pPr>
      <w:r>
        <w:rPr>
          <w:sz w:val="20"/>
          <w:szCs w:val="20"/>
        </w:rPr>
        <w:t>The Partnership recognizes the funded status of pension and other postretiremen</w:t>
      </w:r>
      <w:r>
        <w:rPr>
          <w:sz w:val="20"/>
          <w:szCs w:val="20"/>
        </w:rPr>
        <w:t>t benefit plans as an asset or liability on the balance sheet and recognizes changes in the funded status in other comprehensive income (loss) in the year the changes occur.  The Partnership uses the date of its consolidated financial statements as the mea</w:t>
      </w:r>
      <w:r>
        <w:rPr>
          <w:sz w:val="20"/>
          <w:szCs w:val="20"/>
        </w:rPr>
        <w:t>surement date of plan assets and obligations.</w:t>
      </w:r>
    </w:p>
    <w:p w:rsidR="00000000" w:rsidRDefault="00827839">
      <w:pPr>
        <w:pStyle w:val="a3"/>
        <w:spacing w:before="240" w:beforeAutospacing="0" w:after="0" w:afterAutospacing="0"/>
        <w:jc w:val="both"/>
        <w:rPr>
          <w:b/>
          <w:bCs/>
          <w:sz w:val="20"/>
          <w:szCs w:val="20"/>
        </w:rPr>
      </w:pPr>
      <w:r>
        <w:rPr>
          <w:b/>
          <w:bCs/>
          <w:sz w:val="20"/>
          <w:szCs w:val="20"/>
        </w:rPr>
        <w:t>Projected Benefit Obligation, Fair Value of Plan Assets and Funded Status.</w:t>
      </w:r>
      <w:r>
        <w:rPr>
          <w:sz w:val="20"/>
          <w:szCs w:val="20"/>
        </w:rPr>
        <w:t xml:space="preserve"> The following tables provide a reconciliation of the changes in the benefit obligations and the fair value of the plan assets for fisca</w:t>
      </w:r>
      <w:r>
        <w:rPr>
          <w:sz w:val="20"/>
          <w:szCs w:val="20"/>
        </w:rPr>
        <w:t>l 2019 and 2018 and a statement of the funded status for both years.  Under the Partnership’s cash balance defined benefit pension plan, the accumulated benefit obligation and the projected benefit obligation are the same.</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trPr>
          <w:divId w:val="393091682"/>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16"/>
                <w:szCs w:val="16"/>
              </w:rPr>
            </w:pPr>
            <w:r>
              <w:rPr>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Retiree Health and Life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393091682"/>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Reconciliation of benefit obligations: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Benefit obligation at beginning of year</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111,701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122,647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9,853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cost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3,778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Actuarial loss (gain)</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10,429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(4,535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Lump sum benefits paid</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(3,373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Ordinary benefits paid</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(1,071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Benefit obligation at end of year</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115,471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111,701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Reconciliation of fair value of plan assets: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Fair value of plan assets at beginning of year</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78,032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85,649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Actual gain (loss) return on plan assets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8,133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(2,192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Employer contributions</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5,350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1,071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Lump sum benefits paid</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(3,373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Ordinary benefits paid</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(1,071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Fair value of plan assets at end of year</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80,913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78,032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Funded status: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Funded status at end of year</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(34,558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(33,669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Amounts recognized in consolidated balance sheets</w:t>
            </w:r>
          </w:p>
          <w:p w:rsidR="00000000" w:rsidRDefault="00827839">
            <w:pPr>
              <w:pStyle w:val="a3"/>
              <w:spacing w:before="0" w:beforeAutospacing="0" w:after="0" w:afterAutospacing="0"/>
              <w:rPr>
                <w:b/>
                <w:bCs/>
                <w:color w:val="000000"/>
                <w:sz w:val="20"/>
                <w:szCs w:val="20"/>
              </w:rPr>
            </w:pPr>
            <w:r>
              <w:rPr>
                <w:b/>
                <w:bCs/>
                <w:color w:val="000000"/>
                <w:sz w:val="20"/>
                <w:szCs w:val="20"/>
              </w:rPr>
              <w:t>   consist of:</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amount recognized at end of year</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(34,558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(6,929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Less: current portion</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Noncurrent benefit liability</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(34,558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Amounts not yet recognized in net periodic benefit cost</w:t>
            </w:r>
          </w:p>
          <w:p w:rsidR="00000000" w:rsidRDefault="00827839">
            <w:pPr>
              <w:pStyle w:val="a3"/>
              <w:spacing w:before="0" w:beforeAutospacing="0" w:after="0" w:afterAutospacing="0"/>
              <w:rPr>
                <w:b/>
                <w:bCs/>
                <w:color w:val="000000"/>
                <w:sz w:val="20"/>
                <w:szCs w:val="20"/>
              </w:rPr>
            </w:pPr>
            <w:r>
              <w:rPr>
                <w:b/>
                <w:bCs/>
                <w:color w:val="000000"/>
                <w:sz w:val="20"/>
                <w:szCs w:val="20"/>
              </w:rPr>
              <w:t>   and included in accumulated other comprehensive</w:t>
            </w:r>
          </w:p>
          <w:p w:rsidR="00000000" w:rsidRDefault="00827839">
            <w:pPr>
              <w:pStyle w:val="a3"/>
              <w:spacing w:before="0" w:beforeAutospacing="0" w:after="0" w:afterAutospacing="0"/>
              <w:rPr>
                <w:b/>
                <w:bCs/>
                <w:color w:val="000000"/>
                <w:sz w:val="20"/>
                <w:szCs w:val="20"/>
              </w:rPr>
            </w:pPr>
            <w:r>
              <w:rPr>
                <w:b/>
                <w:bCs/>
                <w:color w:val="000000"/>
                <w:sz w:val="20"/>
                <w:szCs w:val="20"/>
              </w:rPr>
              <w:t>   income (loss):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Actuarial net (loss) gain</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(33,733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5,762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Prior service credits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2,251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2,748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93091682"/>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amount recognized in accumulated other</w:t>
            </w:r>
          </w:p>
          <w:p w:rsidR="00000000" w:rsidRDefault="00827839">
            <w:pPr>
              <w:pStyle w:val="a3"/>
              <w:spacing w:before="0" w:beforeAutospacing="0" w:after="0" w:afterAutospacing="0"/>
              <w:rPr>
                <w:color w:val="000000"/>
                <w:sz w:val="20"/>
                <w:szCs w:val="20"/>
              </w:rPr>
            </w:pPr>
            <w:r>
              <w:rPr>
                <w:color w:val="000000"/>
                <w:sz w:val="20"/>
                <w:szCs w:val="20"/>
              </w:rPr>
              <w:t>   comprehensive (loss) income</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(33,733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7,547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8,510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amounts in accumulated other comprehensive loss as of September 28, 2019 that are expected to be recognized as components of net periodic benefit costs during fiscal 2020 are expenses of $3,754 and credits of ($1,233) for pension and other postretire</w:t>
      </w:r>
      <w:r>
        <w:rPr>
          <w:sz w:val="20"/>
          <w:szCs w:val="20"/>
        </w:rPr>
        <w:t>ment benefits, respectively.</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F-24</w:t>
      </w:r>
    </w:p>
    <w:p w:rsidR="00000000" w:rsidRDefault="00827839">
      <w:pPr>
        <w:rPr>
          <w:rFonts w:eastAsia="Times New Roman"/>
        </w:rPr>
      </w:pPr>
      <w:r>
        <w:rPr>
          <w:rFonts w:eastAsia="Times New Roman"/>
        </w:rPr>
        <w:pict>
          <v:rect id="_x0000_i1139"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b/>
          <w:bCs/>
          <w:sz w:val="20"/>
          <w:szCs w:val="20"/>
        </w:rPr>
        <w:t>Plan Assets.</w:t>
      </w:r>
      <w:r>
        <w:rPr>
          <w:sz w:val="20"/>
          <w:szCs w:val="20"/>
        </w:rPr>
        <w:t>  The Partnership’</w:t>
      </w:r>
      <w:r>
        <w:rPr>
          <w:sz w:val="20"/>
          <w:szCs w:val="20"/>
        </w:rPr>
        <w:t>s investment policies and strategies, as set forth in the Investment Management Policy and Guidelines, are monitored by a Benefits Committee comprised of six members of management.  The Partnership employs a liability driven investment strategy, which seek</w:t>
      </w:r>
      <w:r>
        <w:rPr>
          <w:sz w:val="20"/>
          <w:szCs w:val="20"/>
        </w:rPr>
        <w:t>s to increase the correlation of the plan’s assets and liabilities to reduce the volatility of the plan’s funded status.  This strategy has resulted in an asset allocation that is largely comprised of investments in funds of fixed income securities.  The t</w:t>
      </w:r>
      <w:r>
        <w:rPr>
          <w:sz w:val="20"/>
          <w:szCs w:val="20"/>
        </w:rPr>
        <w:t>arget asset mix is as follows: (i) fixed income securities portion of the portfolio should range between 80% and 90%; and (ii) equity securities portion of the portfolio should range between 10% and 20%.</w:t>
      </w:r>
    </w:p>
    <w:p w:rsidR="00000000" w:rsidRDefault="00827839">
      <w:pPr>
        <w:pStyle w:val="a3"/>
        <w:spacing w:before="240" w:beforeAutospacing="0" w:after="0" w:afterAutospacing="0"/>
        <w:jc w:val="both"/>
        <w:rPr>
          <w:sz w:val="20"/>
          <w:szCs w:val="20"/>
        </w:rPr>
      </w:pPr>
      <w:r>
        <w:rPr>
          <w:sz w:val="20"/>
          <w:szCs w:val="20"/>
        </w:rPr>
        <w:t>The following table presents the actual allocation o</w:t>
      </w:r>
      <w:r>
        <w:rPr>
          <w:sz w:val="20"/>
          <w:szCs w:val="20"/>
        </w:rPr>
        <w:t>f assets held in trust as of:</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12"/>
        <w:gridCol w:w="112"/>
        <w:gridCol w:w="1024"/>
        <w:gridCol w:w="65"/>
        <w:gridCol w:w="112"/>
        <w:gridCol w:w="1024"/>
        <w:gridCol w:w="65"/>
      </w:tblGrid>
      <w:tr w:rsidR="00000000">
        <w:trPr>
          <w:divId w:val="629283789"/>
        </w:trPr>
        <w:tc>
          <w:tcPr>
            <w:tcW w:w="293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16"/>
                <w:szCs w:val="16"/>
              </w:rPr>
            </w:pPr>
            <w:r>
              <w:rPr>
                <w:sz w:val="16"/>
                <w:szCs w:val="16"/>
              </w:rPr>
              <w:t> </w:t>
            </w:r>
          </w:p>
        </w:tc>
        <w:tc>
          <w:tcPr>
            <w:tcW w:w="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8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8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29283789"/>
        </w:trPr>
        <w:tc>
          <w:tcPr>
            <w:tcW w:w="293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29283789"/>
        </w:trPr>
        <w:tc>
          <w:tcPr>
            <w:tcW w:w="293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Fixed income securities</w:t>
            </w:r>
          </w:p>
        </w:tc>
        <w:tc>
          <w:tcPr>
            <w:tcW w:w="9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2"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882"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29283789"/>
        </w:trPr>
        <w:tc>
          <w:tcPr>
            <w:tcW w:w="293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Equity securities</w:t>
            </w:r>
          </w:p>
        </w:tc>
        <w:tc>
          <w:tcPr>
            <w:tcW w:w="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882"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29283789"/>
        </w:trPr>
        <w:tc>
          <w:tcPr>
            <w:tcW w:w="293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8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88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Partnership’</w:t>
      </w:r>
      <w:r>
        <w:rPr>
          <w:sz w:val="20"/>
          <w:szCs w:val="20"/>
        </w:rPr>
        <w:t>s valuations include the use of the funds’ reported net asset values for commingled fund investments.  Commingled funds are valued at the net asset value of its underlying securities.  The assets of the defined benefit pension plan have no significant conc</w:t>
      </w:r>
      <w:r>
        <w:rPr>
          <w:sz w:val="20"/>
          <w:szCs w:val="20"/>
        </w:rPr>
        <w:t>entration of risk and there are no restrictions on these investments.</w:t>
      </w:r>
    </w:p>
    <w:p w:rsidR="00000000" w:rsidRDefault="00827839">
      <w:pPr>
        <w:pStyle w:val="a3"/>
        <w:spacing w:before="240" w:beforeAutospacing="0" w:after="0" w:afterAutospacing="0"/>
        <w:jc w:val="both"/>
        <w:rPr>
          <w:sz w:val="20"/>
          <w:szCs w:val="20"/>
        </w:rPr>
      </w:pPr>
      <w:r>
        <w:rPr>
          <w:sz w:val="20"/>
          <w:szCs w:val="20"/>
        </w:rPr>
        <w:t>The following table describes the measurement of the Partnership’s pension plan assets by asset category as of:</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1"/>
        <w:gridCol w:w="90"/>
        <w:gridCol w:w="116"/>
        <w:gridCol w:w="925"/>
        <w:gridCol w:w="65"/>
        <w:gridCol w:w="90"/>
        <w:gridCol w:w="116"/>
        <w:gridCol w:w="926"/>
        <w:gridCol w:w="65"/>
      </w:tblGrid>
      <w:tr w:rsidR="00000000">
        <w:trPr>
          <w:divId w:val="1062405954"/>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16"/>
                <w:szCs w:val="16"/>
              </w:rPr>
            </w:pPr>
            <w:r>
              <w:rPr>
                <w:sz w:val="16"/>
                <w:szCs w:val="16"/>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8"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68"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62405954"/>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062405954"/>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Short term investments </w:t>
            </w:r>
            <w:r>
              <w:rPr>
                <w:color w:val="000000"/>
                <w:sz w:val="16"/>
                <w:szCs w:val="16"/>
              </w:rPr>
              <w:t>(1)</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2405954"/>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2405954"/>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Equity securities:</w:t>
            </w:r>
            <w:r>
              <w:rPr>
                <w:color w:val="000000"/>
                <w:sz w:val="16"/>
                <w:szCs w:val="16"/>
              </w:rPr>
              <w:t xml:space="preserve"> (1) (2)</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2405954"/>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Domestic</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4,314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4,362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2405954"/>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International</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7,041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2405954"/>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2405954"/>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xml:space="preserve">Fixed income securities </w:t>
            </w:r>
            <w:r>
              <w:rPr>
                <w:color w:val="000000"/>
                <w:sz w:val="16"/>
                <w:szCs w:val="16"/>
              </w:rPr>
              <w:t>(1) (3)</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67,704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65,127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062405954"/>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80,913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78,032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35720974"/>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sz w:val="20"/>
                <w:szCs w:val="20"/>
              </w:rPr>
              <w:t>Includes funds which are not publicly traded and are valued at the net asset value of the units provided by the fund issuer.</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Includes funds which invest primarily in a diversified portfolio of publicly traded U.S. and Non-U.S. common stock.</w:t>
            </w:r>
          </w:p>
        </w:tc>
      </w:tr>
    </w:tbl>
    <w:p w:rsidR="00000000" w:rsidRDefault="00827839">
      <w:pPr>
        <w:divId w:val="141420607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14206074"/>
        </w:trPr>
        <w:tc>
          <w:tcPr>
            <w:tcW w:w="227" w:type="pct"/>
            <w:noWrap/>
            <w:hideMark/>
          </w:tcPr>
          <w:p w:rsidR="00000000" w:rsidRDefault="00827839">
            <w:pPr>
              <w:pStyle w:val="a3"/>
              <w:spacing w:before="120" w:beforeAutospacing="0" w:after="0" w:afterAutospacing="0"/>
              <w:jc w:val="both"/>
              <w:rPr>
                <w:sz w:val="20"/>
                <w:szCs w:val="20"/>
              </w:rPr>
            </w:pPr>
            <w:r>
              <w:rPr>
                <w:sz w:val="20"/>
                <w:szCs w:val="20"/>
              </w:rPr>
              <w:t>(3)</w:t>
            </w:r>
          </w:p>
        </w:tc>
        <w:tc>
          <w:tcPr>
            <w:tcW w:w="0" w:type="auto"/>
            <w:hideMark/>
          </w:tcPr>
          <w:p w:rsidR="00000000" w:rsidRDefault="00827839">
            <w:pPr>
              <w:pStyle w:val="a3"/>
              <w:spacing w:before="120" w:beforeAutospacing="0" w:after="0" w:afterAutospacing="0"/>
              <w:jc w:val="both"/>
              <w:rPr>
                <w:sz w:val="20"/>
                <w:szCs w:val="20"/>
              </w:rPr>
            </w:pPr>
            <w:r>
              <w:rPr>
                <w:sz w:val="20"/>
                <w:szCs w:val="20"/>
              </w:rPr>
              <w:t>Includes funds which invest primarily in publicly traded and non-publicly traded, investment grade corporate bonds, U.S. government bo</w:t>
            </w:r>
            <w:r>
              <w:rPr>
                <w:sz w:val="20"/>
                <w:szCs w:val="20"/>
              </w:rPr>
              <w:t>nds and asset-backed securities.</w:t>
            </w:r>
          </w:p>
        </w:tc>
      </w:tr>
    </w:tbl>
    <w:p w:rsidR="00000000" w:rsidRDefault="00827839">
      <w:pPr>
        <w:pStyle w:val="a3"/>
        <w:spacing w:before="240" w:beforeAutospacing="0" w:after="0" w:afterAutospacing="0"/>
        <w:jc w:val="both"/>
        <w:rPr>
          <w:b/>
          <w:bCs/>
          <w:sz w:val="20"/>
          <w:szCs w:val="20"/>
        </w:rPr>
      </w:pPr>
      <w:r>
        <w:rPr>
          <w:b/>
          <w:bCs/>
          <w:sz w:val="20"/>
          <w:szCs w:val="20"/>
        </w:rPr>
        <w:t>Projected Contributions and Benefit Payments.</w:t>
      </w:r>
      <w:r>
        <w:rPr>
          <w:sz w:val="20"/>
          <w:szCs w:val="20"/>
        </w:rPr>
        <w:t>  The Partnership expects to contribute approximately $6,600 to the defined benefit pension plan during fiscal 2020.  Estimated future benefit payments for both pension and reti</w:t>
      </w:r>
      <w:r>
        <w:rPr>
          <w:sz w:val="20"/>
          <w:szCs w:val="20"/>
        </w:rPr>
        <w:t>ree health and life benefits are as follows:</w:t>
      </w:r>
    </w:p>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1"/>
        <w:gridCol w:w="90"/>
        <w:gridCol w:w="115"/>
        <w:gridCol w:w="926"/>
        <w:gridCol w:w="65"/>
        <w:gridCol w:w="91"/>
        <w:gridCol w:w="115"/>
        <w:gridCol w:w="926"/>
        <w:gridCol w:w="65"/>
      </w:tblGrid>
      <w:tr w:rsidR="00000000">
        <w:trPr>
          <w:divId w:val="1730373131"/>
        </w:trPr>
        <w:tc>
          <w:tcPr>
            <w:tcW w:w="296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16"/>
                <w:szCs w:val="16"/>
              </w:rPr>
            </w:pPr>
            <w:r>
              <w:rPr>
                <w:sz w:val="16"/>
                <w:szCs w:val="16"/>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2"/>
                <w:szCs w:val="22"/>
              </w:rPr>
            </w:pPr>
            <w:r>
              <w:rPr>
                <w:color w:val="000000"/>
                <w:sz w:val="22"/>
                <w:szCs w:val="22"/>
              </w:rPr>
              <w:t> </w:t>
            </w:r>
          </w:p>
        </w:tc>
        <w:tc>
          <w:tcPr>
            <w:tcW w:w="868"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Pension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2"/>
                <w:szCs w:val="22"/>
              </w:rPr>
            </w:pPr>
            <w:r>
              <w:rPr>
                <w:color w:val="000000"/>
                <w:sz w:val="22"/>
                <w:szCs w:val="22"/>
              </w:rPr>
              <w:t> </w:t>
            </w:r>
          </w:p>
        </w:tc>
        <w:tc>
          <w:tcPr>
            <w:tcW w:w="868"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Retiree Health and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30373131"/>
        </w:trPr>
        <w:tc>
          <w:tcPr>
            <w:tcW w:w="2963"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Year</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8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Life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30373131"/>
        </w:trPr>
        <w:tc>
          <w:tcPr>
            <w:tcW w:w="2963"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2020</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24,516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0373131"/>
        </w:trPr>
        <w:tc>
          <w:tcPr>
            <w:tcW w:w="29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2021</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10,384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0373131"/>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2022</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9,059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0373131"/>
        </w:trPr>
        <w:tc>
          <w:tcPr>
            <w:tcW w:w="29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2023</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0373131"/>
        </w:trPr>
        <w:tc>
          <w:tcPr>
            <w:tcW w:w="296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2024</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7,856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30373131"/>
        </w:trPr>
        <w:tc>
          <w:tcPr>
            <w:tcW w:w="296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2025 through 2029</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33,500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20"/>
                <w:szCs w:val="20"/>
              </w:rPr>
            </w:pPr>
            <w:r>
              <w:rPr>
                <w:color w:val="000000"/>
                <w:sz w:val="20"/>
                <w:szCs w:val="20"/>
              </w:rPr>
              <w:t>2,251</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 xml:space="preserve">Estimated future pension benefit payments assumes that age 65 or older active and non-active eligible participants in the pension plan that had not received a benefit payment prior to fiscal 2020 will elect to receive a benefit payment in fiscal 2020.  In </w:t>
      </w:r>
      <w:r>
        <w:rPr>
          <w:sz w:val="20"/>
          <w:szCs w:val="20"/>
        </w:rPr>
        <w:t>addition, for all periods presented, estimated future pension benefit payments assumes that participants will elect a lump sum payment in the fiscal year that the participant becomes eligible to receive benefits.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F-25</w:t>
      </w:r>
    </w:p>
    <w:p w:rsidR="00000000" w:rsidRDefault="00827839">
      <w:pPr>
        <w:rPr>
          <w:rFonts w:eastAsia="Times New Roman"/>
        </w:rPr>
      </w:pPr>
      <w:r>
        <w:rPr>
          <w:rFonts w:eastAsia="Times New Roman"/>
        </w:rPr>
        <w:pict>
          <v:rect id="_x0000_i1140"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b/>
          <w:bCs/>
          <w:sz w:val="20"/>
          <w:szCs w:val="20"/>
        </w:rPr>
      </w:pPr>
      <w:r>
        <w:rPr>
          <w:b/>
          <w:bCs/>
          <w:sz w:val="20"/>
          <w:szCs w:val="20"/>
        </w:rPr>
        <w:t>Effect on Operations.</w:t>
      </w:r>
      <w:r>
        <w:rPr>
          <w:sz w:val="20"/>
          <w:szCs w:val="20"/>
        </w:rPr>
        <w:t xml:space="preserve"> The following table provides the components of net periodic benefit costs included in operating expenses for fiscal 2019, 2018 and 2017:</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10"/>
        <w:gridCol w:w="77"/>
        <w:gridCol w:w="115"/>
        <w:gridCol w:w="663"/>
        <w:gridCol w:w="82"/>
        <w:gridCol w:w="68"/>
        <w:gridCol w:w="115"/>
        <w:gridCol w:w="663"/>
        <w:gridCol w:w="82"/>
        <w:gridCol w:w="68"/>
        <w:gridCol w:w="115"/>
        <w:gridCol w:w="668"/>
        <w:gridCol w:w="82"/>
        <w:gridCol w:w="68"/>
        <w:gridCol w:w="115"/>
        <w:gridCol w:w="664"/>
        <w:gridCol w:w="82"/>
        <w:gridCol w:w="69"/>
        <w:gridCol w:w="115"/>
        <w:gridCol w:w="665"/>
        <w:gridCol w:w="82"/>
        <w:gridCol w:w="71"/>
        <w:gridCol w:w="115"/>
        <w:gridCol w:w="670"/>
        <w:gridCol w:w="82"/>
      </w:tblGrid>
      <w:tr w:rsidR="00000000">
        <w:trPr>
          <w:divId w:val="310061888"/>
        </w:trPr>
        <w:tc>
          <w:tcPr>
            <w:tcW w:w="16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77"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77"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Retiree Health and Life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310061888"/>
        </w:trPr>
        <w:tc>
          <w:tcPr>
            <w:tcW w:w="163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310061888"/>
        </w:trPr>
        <w:tc>
          <w:tcPr>
            <w:tcW w:w="163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cost</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3,778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10061888"/>
        </w:trPr>
        <w:tc>
          <w:tcPr>
            <w:tcW w:w="16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Expected return on plan assets</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(1,894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2,150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10061888"/>
        </w:trPr>
        <w:tc>
          <w:tcPr>
            <w:tcW w:w="163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Amortization of prior service credit</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10061888"/>
        </w:trPr>
        <w:tc>
          <w:tcPr>
            <w:tcW w:w="16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Settlement charge</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310061888"/>
        </w:trPr>
        <w:tc>
          <w:tcPr>
            <w:tcW w:w="163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Recognized net actuarial loss (gain)</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3,466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5,201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310061888"/>
        </w:trPr>
        <w:tc>
          <w:tcPr>
            <w:tcW w:w="163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Net periodic benefit costs</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5,686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(984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Effective June 1, 2017, the Partnership amended the defined benefit pension plan to provide eligible terminated vested participants with a limited-time op</w:t>
      </w:r>
      <w:r>
        <w:rPr>
          <w:sz w:val="20"/>
          <w:szCs w:val="20"/>
        </w:rPr>
        <w:t>portunity to elect immediate distribution of their benefits in the form of a single lump sum.  Lump sum pension settlement payments for fiscal 2017 included $16,237 in benefits paid to those that participated in this limited-time opportunity, which expired</w:t>
      </w:r>
      <w:r>
        <w:rPr>
          <w:sz w:val="20"/>
          <w:szCs w:val="20"/>
        </w:rPr>
        <w:t xml:space="preserve"> in August 2017.</w:t>
      </w:r>
    </w:p>
    <w:p w:rsidR="00000000" w:rsidRDefault="00827839">
      <w:pPr>
        <w:pStyle w:val="a3"/>
        <w:spacing w:before="40" w:beforeAutospacing="0" w:after="0" w:afterAutospacing="0"/>
        <w:jc w:val="both"/>
        <w:rPr>
          <w:sz w:val="20"/>
          <w:szCs w:val="20"/>
        </w:rPr>
      </w:pPr>
      <w:r>
        <w:rPr>
          <w:sz w:val="20"/>
          <w:szCs w:val="20"/>
        </w:rPr>
        <w:t> </w:t>
      </w:r>
    </w:p>
    <w:p w:rsidR="00000000" w:rsidRDefault="00827839">
      <w:pPr>
        <w:pStyle w:val="a3"/>
        <w:spacing w:before="0" w:beforeAutospacing="0" w:after="0" w:afterAutospacing="0"/>
        <w:jc w:val="both"/>
        <w:rPr>
          <w:sz w:val="20"/>
          <w:szCs w:val="20"/>
        </w:rPr>
      </w:pPr>
      <w:r>
        <w:rPr>
          <w:sz w:val="20"/>
          <w:szCs w:val="20"/>
        </w:rPr>
        <w:t>During fiscal 2019, fiscal 2018 and fiscal 2017, lump sum pension settlement payments to either terminated or retired individuals amounted to $3,869, $3,373 and $20,799, respectively. The settlement threshold (combined service and intere</w:t>
      </w:r>
      <w:r>
        <w:rPr>
          <w:sz w:val="20"/>
          <w:szCs w:val="20"/>
        </w:rPr>
        <w:t>st costs of net periodic pension cost) for these three years were $3,943, $3,778 and $4,164, respectively.  In fiscal 2017, lump sum pension settlement payments exceeded the settlement threshold, which required the Partnership to recognize a non-cash settl</w:t>
      </w:r>
      <w:r>
        <w:rPr>
          <w:sz w:val="20"/>
          <w:szCs w:val="20"/>
        </w:rPr>
        <w:t>ement charge of $6,100 during fiscal 2017.  The non-cash charges were required to accelerate recognition of a portion of cumulative unamortized losses in the defined benefit pension plan.  </w:t>
      </w:r>
    </w:p>
    <w:p w:rsidR="00000000" w:rsidRDefault="00827839">
      <w:pPr>
        <w:pStyle w:val="a3"/>
        <w:spacing w:before="240" w:beforeAutospacing="0" w:after="0" w:afterAutospacing="0"/>
        <w:jc w:val="both"/>
        <w:rPr>
          <w:b/>
          <w:bCs/>
          <w:sz w:val="20"/>
          <w:szCs w:val="20"/>
        </w:rPr>
      </w:pPr>
      <w:r>
        <w:rPr>
          <w:b/>
          <w:bCs/>
          <w:sz w:val="20"/>
          <w:szCs w:val="20"/>
        </w:rPr>
        <w:t>Actuarial Assumptions.</w:t>
      </w:r>
      <w:r>
        <w:rPr>
          <w:sz w:val="20"/>
          <w:szCs w:val="20"/>
        </w:rPr>
        <w:t>  The assumptions used in the measurement of</w:t>
      </w:r>
      <w:r>
        <w:rPr>
          <w:sz w:val="20"/>
          <w:szCs w:val="20"/>
        </w:rPr>
        <w:t xml:space="preserve"> the Partnership’s benefit obligations as of September 28, 2019 and September 29, 2018 are shown in the following table:</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1"/>
        <w:gridCol w:w="65"/>
        <w:gridCol w:w="65"/>
        <w:gridCol w:w="623"/>
        <w:gridCol w:w="182"/>
        <w:gridCol w:w="65"/>
        <w:gridCol w:w="65"/>
        <w:gridCol w:w="625"/>
        <w:gridCol w:w="182"/>
        <w:gridCol w:w="65"/>
        <w:gridCol w:w="65"/>
        <w:gridCol w:w="623"/>
        <w:gridCol w:w="182"/>
        <w:gridCol w:w="65"/>
        <w:gridCol w:w="65"/>
        <w:gridCol w:w="625"/>
        <w:gridCol w:w="182"/>
      </w:tblGrid>
      <w:tr w:rsidR="00000000">
        <w:trPr>
          <w:divId w:val="2056734538"/>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Retiree Health and Life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56734538"/>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56734538"/>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Weighted-average discount rate</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056734538"/>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Average rate of compensation increase</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56734538"/>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Health care cost trend</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9" w:type="pct"/>
            <w:gridSpan w:val="2"/>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6.290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assumptions used in the measurement of net periodic pension benefit and postretirement benefit costs for fiscal 2019, 2018 and 2017 are shown in the following table:</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81"/>
        <w:gridCol w:w="65"/>
        <w:gridCol w:w="65"/>
        <w:gridCol w:w="623"/>
        <w:gridCol w:w="182"/>
        <w:gridCol w:w="65"/>
        <w:gridCol w:w="65"/>
        <w:gridCol w:w="624"/>
        <w:gridCol w:w="182"/>
        <w:gridCol w:w="65"/>
        <w:gridCol w:w="65"/>
        <w:gridCol w:w="629"/>
        <w:gridCol w:w="182"/>
        <w:gridCol w:w="65"/>
        <w:gridCol w:w="65"/>
        <w:gridCol w:w="624"/>
        <w:gridCol w:w="182"/>
        <w:gridCol w:w="65"/>
        <w:gridCol w:w="65"/>
        <w:gridCol w:w="624"/>
        <w:gridCol w:w="182"/>
        <w:gridCol w:w="65"/>
        <w:gridCol w:w="65"/>
        <w:gridCol w:w="629"/>
        <w:gridCol w:w="182"/>
      </w:tblGrid>
      <w:tr w:rsidR="00000000">
        <w:trPr>
          <w:divId w:val="2013874640"/>
        </w:trPr>
        <w:tc>
          <w:tcPr>
            <w:tcW w:w="1632"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16"/>
                <w:szCs w:val="16"/>
              </w:rPr>
            </w:pPr>
            <w:r>
              <w:rPr>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78"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578"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Retiree Health and Life Benefits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13874640"/>
        </w:trPr>
        <w:tc>
          <w:tcPr>
            <w:tcW w:w="163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5"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4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2013874640"/>
        </w:trPr>
        <w:tc>
          <w:tcPr>
            <w:tcW w:w="163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Weighted-average discount rate</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3.125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2013874640"/>
        </w:trPr>
        <w:tc>
          <w:tcPr>
            <w:tcW w:w="163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Average rate of compensation increase</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3874640"/>
        </w:trPr>
        <w:tc>
          <w:tcPr>
            <w:tcW w:w="1632"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Weighted-average expected long-term</w:t>
            </w:r>
          </w:p>
          <w:p w:rsidR="00000000" w:rsidRDefault="00827839">
            <w:pPr>
              <w:pStyle w:val="a3"/>
              <w:spacing w:before="0" w:beforeAutospacing="0" w:after="0" w:afterAutospacing="0"/>
              <w:rPr>
                <w:color w:val="000000"/>
                <w:sz w:val="20"/>
                <w:szCs w:val="20"/>
              </w:rPr>
            </w:pPr>
            <w:r>
              <w:rPr>
                <w:color w:val="000000"/>
                <w:sz w:val="20"/>
                <w:szCs w:val="20"/>
              </w:rPr>
              <w:t>   rate of return on plan assets</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5" w:type="pct"/>
            <w:gridSpan w:val="2"/>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2013874640"/>
        </w:trPr>
        <w:tc>
          <w:tcPr>
            <w:tcW w:w="1632"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Health care cost trend</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455"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n/</w:t>
            </w:r>
            <w:r>
              <w:rPr>
                <w:color w:val="000000"/>
                <w:sz w:val="20"/>
                <w:szCs w:val="20"/>
              </w:rPr>
              <w:t>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6.290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6.840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discount rate assumption takes into consideration current market expectations related to long-term interest rates and the projected duration of the Partnership’s pension obligations based on a benchmark index with similar characteristics as the expecte</w:t>
      </w:r>
      <w:r>
        <w:rPr>
          <w:sz w:val="20"/>
          <w:szCs w:val="20"/>
        </w:rPr>
        <w:t>d cash flow requirements of the Partnership’s defined benefit pension plan over the long-term. The expected long-term rate of return on plan assets assumption reflects estimated future performance in the Partnership’s pension asset portfolio considering th</w:t>
      </w:r>
      <w:r>
        <w:rPr>
          <w:sz w:val="20"/>
          <w:szCs w:val="20"/>
        </w:rPr>
        <w:t>e investment mix of the pension asset portfolio and historical asset performance.  The expected return on plan assets is determined based on the expected long-term rate of return on plan assets and the market-related value of plan assets.  The market-relat</w:t>
      </w:r>
      <w:r>
        <w:rPr>
          <w:sz w:val="20"/>
          <w:szCs w:val="20"/>
        </w:rPr>
        <w:t>ed value of pension plan assets is the fair value of the assets.  Unrecognized actuarial gains and losses in excess of 10% of the greater of the projected benefit obligation and the market-related value of plan assets are amortized over the expected averag</w:t>
      </w:r>
      <w:r>
        <w:rPr>
          <w:sz w:val="20"/>
          <w:szCs w:val="20"/>
        </w:rPr>
        <w:t>e remaining service period of active employees expected to receive benefits under the plan.</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F-26</w:t>
      </w:r>
    </w:p>
    <w:p w:rsidR="00000000" w:rsidRDefault="00827839">
      <w:pPr>
        <w:rPr>
          <w:rFonts w:eastAsia="Times New Roman"/>
        </w:rPr>
      </w:pPr>
      <w:r>
        <w:rPr>
          <w:rFonts w:eastAsia="Times New Roman"/>
        </w:rPr>
        <w:pict>
          <v:rect id="_x0000_i1141"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sz w:val="20"/>
          <w:szCs w:val="20"/>
        </w:rPr>
      </w:pPr>
      <w:r>
        <w:rPr>
          <w:sz w:val="20"/>
          <w:szCs w:val="20"/>
        </w:rPr>
        <w:t>The 6.01</w:t>
      </w:r>
      <w:r>
        <w:rPr>
          <w:sz w:val="20"/>
          <w:szCs w:val="20"/>
        </w:rPr>
        <w:t>% increase in health care costs assumed at September 28, 2019 is assumed to decrease gradually to 4.50% in fiscal 2040 and to remain at that level thereafter.  An increase or decrease of the assumed health care cost trend rates by 1.0% in each year would h</w:t>
      </w:r>
      <w:r>
        <w:rPr>
          <w:sz w:val="20"/>
          <w:szCs w:val="20"/>
        </w:rPr>
        <w:t>ave no material impact to the Partnership’s benefit obligation as of September 28, 2019 nor the aggregate of service and interest components of net periodic postretirement benefit expense for fiscal 2019.  The Partnership has concluded that the prescriptio</w:t>
      </w:r>
      <w:r>
        <w:rPr>
          <w:sz w:val="20"/>
          <w:szCs w:val="20"/>
        </w:rPr>
        <w:t>n drug benefits within the retiree medical plan do not entitle the Partnership to an available Medicare subsidy.</w:t>
      </w:r>
    </w:p>
    <w:p w:rsidR="00000000" w:rsidRDefault="00827839">
      <w:pPr>
        <w:pStyle w:val="a3"/>
        <w:spacing w:before="240" w:beforeAutospacing="0" w:after="0" w:afterAutospacing="0"/>
        <w:jc w:val="both"/>
        <w:rPr>
          <w:b/>
          <w:bCs/>
          <w:sz w:val="20"/>
          <w:szCs w:val="20"/>
        </w:rPr>
      </w:pPr>
      <w:r>
        <w:rPr>
          <w:b/>
          <w:bCs/>
          <w:sz w:val="20"/>
          <w:szCs w:val="20"/>
        </w:rPr>
        <w:t>Multi-Employer Pension Plans.</w:t>
      </w:r>
      <w:r>
        <w:rPr>
          <w:sz w:val="20"/>
          <w:szCs w:val="20"/>
        </w:rPr>
        <w:t>  As a result of the acquisition of the retail propane assets of Inergy, the Partnership contributes to multi-empl</w:t>
      </w:r>
      <w:r>
        <w:rPr>
          <w:sz w:val="20"/>
          <w:szCs w:val="20"/>
        </w:rPr>
        <w:t>oyer pension plans (“MEPPs”) in accordance with various collective bargaining agreements covering union employees.  As one of the many participating employers in these MEPPs, the Partnership is responsible with the other participating employers for any pla</w:t>
      </w:r>
      <w:r>
        <w:rPr>
          <w:sz w:val="20"/>
          <w:szCs w:val="20"/>
        </w:rPr>
        <w:t>n underfunding.  During fiscal 2013, the Partnership established an accrual of $7,000 for its estimated obligation to certain MEPPs due to the Partnership’s voluntary partial withdrawal from one such MEPP and full withdrawal from four MEPPs.  During fiscal</w:t>
      </w:r>
      <w:r>
        <w:rPr>
          <w:sz w:val="20"/>
          <w:szCs w:val="20"/>
        </w:rPr>
        <w:t xml:space="preserve"> 2015, the Partnership accrued $11,300 for its further voluntary partial withdrawal, and during fiscal 2016 the Partnership accrued an additional $6,600 for its voluntary full withdrawal.  As of September 28, 2019 and September 29, 2018, the Partnership’s </w:t>
      </w:r>
      <w:r>
        <w:rPr>
          <w:sz w:val="20"/>
          <w:szCs w:val="20"/>
        </w:rPr>
        <w:t>estimated obligation to these MEPPs was $21,441 and $22,509, respectively.  Due to the uncertainty regarding future factors that could impact the withdrawal liability, the Partnership is unable to determine the timing of the payment of the future withdrawa</w:t>
      </w:r>
      <w:r>
        <w:rPr>
          <w:sz w:val="20"/>
          <w:szCs w:val="20"/>
        </w:rPr>
        <w:t>l liability, or additional future withdrawal liability, if any.</w:t>
      </w:r>
    </w:p>
    <w:p w:rsidR="00000000" w:rsidRDefault="00827839">
      <w:pPr>
        <w:pStyle w:val="a3"/>
        <w:spacing w:before="240" w:beforeAutospacing="0" w:after="0" w:afterAutospacing="0"/>
        <w:jc w:val="both"/>
        <w:rPr>
          <w:sz w:val="20"/>
          <w:szCs w:val="20"/>
        </w:rPr>
      </w:pPr>
      <w:r>
        <w:rPr>
          <w:sz w:val="20"/>
          <w:szCs w:val="20"/>
        </w:rPr>
        <w:t xml:space="preserve">The Partnership’s contributions to a particular MEPP are established by the applicable collective bargaining agreements (“CBAs”); however, the required contributions may increase based on the </w:t>
      </w:r>
      <w:r>
        <w:rPr>
          <w:sz w:val="20"/>
          <w:szCs w:val="20"/>
        </w:rPr>
        <w:t>funded status of a MEPP and legal requirements of the Pension Protection Act of 2006 (the “PPA”), which requires substantially underfunded MEPPs to implement a funding improvement plan (“FIP”) or a rehabilitation plan (“RP”) to improve their funded status.</w:t>
      </w:r>
      <w:r>
        <w:rPr>
          <w:sz w:val="20"/>
          <w:szCs w:val="20"/>
        </w:rPr>
        <w:t>  Factors that could impact funded status of a MEPP include, without limitation, investment performance, changes in the participant demographics, decline in the number of contributing employers, changes in actuarial assumptions and the utilization of exten</w:t>
      </w:r>
      <w:r>
        <w:rPr>
          <w:sz w:val="20"/>
          <w:szCs w:val="20"/>
        </w:rPr>
        <w:t>ded amortization provisions.</w:t>
      </w:r>
    </w:p>
    <w:p w:rsidR="00000000" w:rsidRDefault="00827839">
      <w:pPr>
        <w:pStyle w:val="a3"/>
        <w:spacing w:before="240" w:beforeAutospacing="0" w:after="0" w:afterAutospacing="0"/>
        <w:jc w:val="both"/>
        <w:rPr>
          <w:sz w:val="20"/>
          <w:szCs w:val="20"/>
        </w:rPr>
      </w:pPr>
      <w:r>
        <w:rPr>
          <w:sz w:val="20"/>
          <w:szCs w:val="20"/>
        </w:rPr>
        <w:t xml:space="preserve">While no multi-employer pension plan that the Partnership contributed to is individually significant to the Partnership, the table below discloses the MEPPs to which the Partnership contributes.  The financial health of a MEPP </w:t>
      </w:r>
      <w:r>
        <w:rPr>
          <w:sz w:val="20"/>
          <w:szCs w:val="20"/>
        </w:rPr>
        <w:t>is indicated by the zone status, as defined by the PPA, which represents the funded status of the plan as certified by the plan's actuary.  Plans in the red zone are less than 65% funded, the yellow zone are between 65% and 80% funded, and green zone are a</w:t>
      </w:r>
      <w:r>
        <w:rPr>
          <w:sz w:val="20"/>
          <w:szCs w:val="20"/>
        </w:rPr>
        <w:t>t least 80% funded.  Total contributions made by the Partnership to multi-employer pension plans for the fiscal years ended September 28, 2019, September 29, 2018 and September 30, 2017 are shown below.</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926"/>
        <w:gridCol w:w="63"/>
        <w:gridCol w:w="935"/>
        <w:gridCol w:w="63"/>
        <w:gridCol w:w="480"/>
        <w:gridCol w:w="63"/>
        <w:gridCol w:w="480"/>
        <w:gridCol w:w="63"/>
        <w:gridCol w:w="531"/>
        <w:gridCol w:w="63"/>
        <w:gridCol w:w="110"/>
        <w:gridCol w:w="300"/>
        <w:gridCol w:w="63"/>
        <w:gridCol w:w="63"/>
        <w:gridCol w:w="110"/>
        <w:gridCol w:w="300"/>
        <w:gridCol w:w="63"/>
        <w:gridCol w:w="63"/>
        <w:gridCol w:w="110"/>
        <w:gridCol w:w="300"/>
        <w:gridCol w:w="63"/>
        <w:gridCol w:w="63"/>
        <w:gridCol w:w="976"/>
        <w:gridCol w:w="63"/>
        <w:gridCol w:w="992"/>
      </w:tblGrid>
      <w:tr w:rsidR="00000000">
        <w:trPr>
          <w:divId w:val="1358773832"/>
        </w:trPr>
        <w:tc>
          <w:tcPr>
            <w:tcW w:w="13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60" w:type="pct"/>
            <w:gridSpan w:val="3"/>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PPA Zone Status</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62"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Contributions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1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Contributions greater than</w:t>
            </w:r>
          </w:p>
          <w:p w:rsidR="00000000" w:rsidRDefault="00827839">
            <w:pPr>
              <w:pStyle w:val="a3"/>
              <w:spacing w:before="0" w:beforeAutospacing="0" w:after="0" w:afterAutospacing="0"/>
              <w:jc w:val="center"/>
              <w:rPr>
                <w:b/>
                <w:bCs/>
                <w:color w:val="000000"/>
                <w:sz w:val="16"/>
                <w:szCs w:val="16"/>
              </w:rPr>
            </w:pPr>
            <w:r>
              <w:rPr>
                <w:b/>
                <w:bCs/>
                <w:color w:val="000000"/>
                <w:sz w:val="16"/>
                <w:szCs w:val="16"/>
              </w:rPr>
              <w:t>5% of</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6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Expiration</w:t>
            </w:r>
          </w:p>
        </w:tc>
      </w:tr>
      <w:tr w:rsidR="00000000">
        <w:trPr>
          <w:divId w:val="1358773832"/>
        </w:trPr>
        <w:tc>
          <w:tcPr>
            <w:tcW w:w="1306"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Pension Fund</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2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EIN/Pension Plan Number</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308"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08"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36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FIP/RP Status</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5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1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Total Plan Contributions</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65"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date of</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CBA</w:t>
            </w:r>
          </w:p>
        </w:tc>
      </w:tr>
      <w:tr w:rsidR="00000000">
        <w:trPr>
          <w:divId w:val="1358773832"/>
        </w:trPr>
        <w:tc>
          <w:tcPr>
            <w:tcW w:w="130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Local 282 Pension Trust</w:t>
            </w:r>
            <w:r>
              <w:rPr>
                <w:color w:val="000000"/>
                <w:sz w:val="16"/>
                <w:szCs w:val="16"/>
              </w:rPr>
              <w:t xml:space="preserve"> (1)</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2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11-6245313</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30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Green</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0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Green</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n/</w:t>
            </w:r>
            <w:r>
              <w:rPr>
                <w:color w:val="000000"/>
                <w:sz w:val="19"/>
                <w:szCs w:val="19"/>
              </w:rPr>
              <w:t>a</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20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272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20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235</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208"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252</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1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N</w:t>
            </w:r>
            <w:r>
              <w:rPr>
                <w:color w:val="000000"/>
                <w:sz w:val="19"/>
                <w:szCs w:val="19"/>
              </w:rPr>
              <w:t>o</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6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August 202</w:t>
            </w:r>
            <w:r>
              <w:rPr>
                <w:color w:val="000000"/>
                <w:sz w:val="19"/>
                <w:szCs w:val="19"/>
              </w:rPr>
              <w:t>4</w:t>
            </w:r>
          </w:p>
        </w:tc>
      </w:tr>
      <w:tr w:rsidR="00000000">
        <w:trPr>
          <w:divId w:val="1358773832"/>
        </w:trPr>
        <w:tc>
          <w:tcPr>
            <w:tcW w:w="130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Teamsters Industrial Employees</w:t>
            </w:r>
          </w:p>
          <w:p w:rsidR="00000000" w:rsidRDefault="00827839">
            <w:pPr>
              <w:pStyle w:val="a3"/>
              <w:spacing w:before="0" w:beforeAutospacing="0" w:after="0" w:afterAutospacing="0"/>
              <w:rPr>
                <w:color w:val="000000"/>
                <w:sz w:val="19"/>
                <w:szCs w:val="19"/>
              </w:rPr>
            </w:pPr>
            <w:r>
              <w:rPr>
                <w:color w:val="000000"/>
                <w:sz w:val="19"/>
                <w:szCs w:val="19"/>
              </w:rPr>
              <w:t>   Pension Fund</w:t>
            </w:r>
            <w:r>
              <w:rPr>
                <w:color w:val="000000"/>
                <w:sz w:val="16"/>
                <w:szCs w:val="16"/>
              </w:rPr>
              <w:t xml:space="preserve"> (2)</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2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22-6099363</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30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Green</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0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Green</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6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n/</w:t>
            </w:r>
            <w:r>
              <w:rPr>
                <w:color w:val="000000"/>
                <w:sz w:val="19"/>
                <w:szCs w:val="19"/>
              </w:rPr>
              <w:t>a</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20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200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20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187</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208"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190</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1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Ye</w:t>
            </w:r>
            <w:r>
              <w:rPr>
                <w:color w:val="000000"/>
                <w:sz w:val="19"/>
                <w:szCs w:val="19"/>
              </w:rPr>
              <w:t>s</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6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March 202</w:t>
            </w:r>
            <w:r>
              <w:rPr>
                <w:color w:val="000000"/>
                <w:sz w:val="19"/>
                <w:szCs w:val="19"/>
              </w:rPr>
              <w:t>1</w:t>
            </w:r>
          </w:p>
        </w:tc>
      </w:tr>
      <w:tr w:rsidR="00000000">
        <w:trPr>
          <w:divId w:val="1358773832"/>
        </w:trPr>
        <w:tc>
          <w:tcPr>
            <w:tcW w:w="130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Western Conference of Teamsters</w:t>
            </w:r>
          </w:p>
          <w:p w:rsidR="00000000" w:rsidRDefault="00827839">
            <w:pPr>
              <w:pStyle w:val="a3"/>
              <w:spacing w:before="0" w:beforeAutospacing="0" w:after="0" w:afterAutospacing="0"/>
              <w:rPr>
                <w:color w:val="000000"/>
                <w:sz w:val="19"/>
                <w:szCs w:val="19"/>
              </w:rPr>
            </w:pPr>
            <w:r>
              <w:rPr>
                <w:color w:val="000000"/>
                <w:sz w:val="19"/>
                <w:szCs w:val="19"/>
              </w:rPr>
              <w:t>   Pension Plan</w:t>
            </w:r>
            <w:r>
              <w:rPr>
                <w:color w:val="000000"/>
                <w:sz w:val="16"/>
                <w:szCs w:val="16"/>
              </w:rPr>
              <w:t xml:space="preserve"> (2)</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2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91-6145047</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30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Green</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0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Green</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6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n/</w:t>
            </w:r>
            <w:r>
              <w:rPr>
                <w:color w:val="000000"/>
                <w:sz w:val="19"/>
                <w:szCs w:val="19"/>
              </w:rPr>
              <w:t>a</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208" w:type="pct"/>
            <w:tcBorders>
              <w:bottom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27</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208" w:type="pct"/>
            <w:tcBorders>
              <w:bottom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20</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208" w:type="pct"/>
            <w:tcBorders>
              <w:bottom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jc w:val="right"/>
              <w:rPr>
                <w:color w:val="000000"/>
                <w:sz w:val="19"/>
                <w:szCs w:val="19"/>
              </w:rPr>
            </w:pPr>
            <w:r>
              <w:rPr>
                <w:color w:val="000000"/>
                <w:sz w:val="19"/>
                <w:szCs w:val="19"/>
              </w:rPr>
              <w:t>25</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1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N</w:t>
            </w:r>
            <w:r>
              <w:rPr>
                <w:color w:val="000000"/>
                <w:sz w:val="19"/>
                <w:szCs w:val="19"/>
              </w:rPr>
              <w:t>o</w:t>
            </w:r>
          </w:p>
        </w:tc>
        <w:tc>
          <w:tcPr>
            <w:tcW w:w="5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6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February 202</w:t>
            </w:r>
            <w:r>
              <w:rPr>
                <w:color w:val="000000"/>
                <w:sz w:val="19"/>
                <w:szCs w:val="19"/>
              </w:rPr>
              <w:t>1</w:t>
            </w:r>
          </w:p>
        </w:tc>
      </w:tr>
      <w:tr w:rsidR="00000000">
        <w:trPr>
          <w:divId w:val="1358773832"/>
        </w:trPr>
        <w:tc>
          <w:tcPr>
            <w:tcW w:w="130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2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30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jc w:val="center"/>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0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36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20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499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20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442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w:t>
            </w:r>
          </w:p>
        </w:tc>
        <w:tc>
          <w:tcPr>
            <w:tcW w:w="20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19"/>
                <w:szCs w:val="19"/>
              </w:rPr>
            </w:pPr>
            <w:r>
              <w:rPr>
                <w:color w:val="000000"/>
                <w:sz w:val="19"/>
                <w:szCs w:val="19"/>
              </w:rPr>
              <w:t>467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1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5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c>
          <w:tcPr>
            <w:tcW w:w="46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9"/>
                <w:szCs w:val="19"/>
              </w:rPr>
            </w:pPr>
            <w:r>
              <w:rPr>
                <w:color w:val="000000"/>
                <w:sz w:val="19"/>
                <w:szCs w:val="19"/>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83698099"/>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sz w:val="20"/>
                <w:szCs w:val="20"/>
              </w:rPr>
              <w:t>Based on most recent available valuation information for plan year ended February 2019.</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Based on most recent available valuation information for plan year ended December 2018.</w:t>
            </w:r>
          </w:p>
        </w:tc>
      </w:tr>
    </w:tbl>
    <w:p w:rsidR="00000000" w:rsidRDefault="00827839">
      <w:pPr>
        <w:pStyle w:val="a3"/>
        <w:spacing w:before="0" w:beforeAutospacing="0" w:after="0" w:afterAutospacing="0"/>
        <w:jc w:val="both"/>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Additionally, the Partnership contributes to certain multi-employer pla</w:t>
      </w:r>
      <w:r>
        <w:rPr>
          <w:sz w:val="20"/>
          <w:szCs w:val="20"/>
        </w:rPr>
        <w:t>ns that provide health and welfare benefits and defined annuity plans.  Contributions to those plans were $1,220, $1,099 and $1,089 for fiscal 2019, 2018 and 2017, respectively.</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5197117"/>
        </w:trPr>
        <w:tc>
          <w:tcPr>
            <w:tcW w:w="227" w:type="pct"/>
            <w:noWrap/>
            <w:hideMark/>
          </w:tcPr>
          <w:p w:rsidR="00000000" w:rsidRDefault="00827839">
            <w:pPr>
              <w:pStyle w:val="a3"/>
              <w:spacing w:before="160" w:beforeAutospacing="0" w:after="0" w:afterAutospacing="0"/>
              <w:jc w:val="both"/>
              <w:rPr>
                <w:b/>
                <w:bCs/>
                <w:sz w:val="20"/>
                <w:szCs w:val="20"/>
              </w:rPr>
            </w:pPr>
            <w:r>
              <w:rPr>
                <w:b/>
                <w:bCs/>
                <w:sz w:val="20"/>
                <w:szCs w:val="20"/>
              </w:rPr>
              <w:t>12.</w:t>
            </w:r>
          </w:p>
        </w:tc>
        <w:tc>
          <w:tcPr>
            <w:tcW w:w="0" w:type="auto"/>
            <w:hideMark/>
          </w:tcPr>
          <w:p w:rsidR="00000000" w:rsidRDefault="00827839">
            <w:pPr>
              <w:pStyle w:val="a3"/>
              <w:spacing w:before="160" w:beforeAutospacing="0" w:after="0" w:afterAutospacing="0"/>
              <w:jc w:val="both"/>
              <w:rPr>
                <w:b/>
                <w:bCs/>
                <w:sz w:val="20"/>
                <w:szCs w:val="20"/>
              </w:rPr>
            </w:pPr>
            <w:r>
              <w:rPr>
                <w:b/>
                <w:bCs/>
                <w:sz w:val="20"/>
                <w:szCs w:val="20"/>
              </w:rPr>
              <w:t>Financial Instruments and Risk Management</w:t>
            </w:r>
          </w:p>
        </w:tc>
      </w:tr>
    </w:tbl>
    <w:p w:rsidR="00000000" w:rsidRDefault="00827839">
      <w:pPr>
        <w:pStyle w:val="a3"/>
        <w:spacing w:before="120" w:beforeAutospacing="0" w:after="0" w:afterAutospacing="0"/>
        <w:jc w:val="both"/>
        <w:rPr>
          <w:b/>
          <w:bCs/>
          <w:sz w:val="20"/>
          <w:szCs w:val="20"/>
        </w:rPr>
      </w:pPr>
      <w:r>
        <w:rPr>
          <w:b/>
          <w:bCs/>
          <w:sz w:val="20"/>
          <w:szCs w:val="20"/>
        </w:rPr>
        <w:t>Cash and Cash Equivalents.</w:t>
      </w:r>
      <w:r>
        <w:rPr>
          <w:sz w:val="20"/>
          <w:szCs w:val="20"/>
        </w:rPr>
        <w:t>  T</w:t>
      </w:r>
      <w:r>
        <w:rPr>
          <w:sz w:val="20"/>
          <w:szCs w:val="20"/>
        </w:rPr>
        <w:t>he fair value of cash and cash equivalents is not materially different from their carrying amount because of the short-term maturity of these instruments.</w:t>
      </w:r>
    </w:p>
    <w:p w:rsidR="00000000" w:rsidRDefault="00827839">
      <w:pPr>
        <w:pStyle w:val="a3"/>
        <w:spacing w:before="240" w:beforeAutospacing="0" w:after="0" w:afterAutospacing="0"/>
        <w:jc w:val="both"/>
        <w:rPr>
          <w:b/>
          <w:bCs/>
          <w:sz w:val="20"/>
          <w:szCs w:val="20"/>
        </w:rPr>
      </w:pPr>
      <w:r>
        <w:rPr>
          <w:b/>
          <w:bCs/>
          <w:sz w:val="20"/>
          <w:szCs w:val="20"/>
        </w:rPr>
        <w:t>Derivative Instruments and Hedging Activities.</w:t>
      </w:r>
      <w:r>
        <w:rPr>
          <w:sz w:val="20"/>
          <w:szCs w:val="20"/>
        </w:rPr>
        <w:t>  The Partnership measures the fair value of its exchan</w:t>
      </w:r>
      <w:r>
        <w:rPr>
          <w:sz w:val="20"/>
          <w:szCs w:val="20"/>
        </w:rPr>
        <w:t>ge-traded commodity-related options and futures contracts using Level 1 inputs, the fair value of its commodity-related swap contracts and interest rate swaps using Level 2 inputs and the fair value of its over-the-counter commodity-related options contrac</w:t>
      </w:r>
      <w:r>
        <w:rPr>
          <w:sz w:val="20"/>
          <w:szCs w:val="20"/>
        </w:rPr>
        <w:t>ts using Level 3 inputs.  The Partnership’s over-the-counter options contracts are valued based on an internal option model.  The inputs utilized in the model are based on publicly available information, as well as broker quotes.</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F-27</w:t>
      </w:r>
    </w:p>
    <w:p w:rsidR="00000000" w:rsidRDefault="00827839">
      <w:pPr>
        <w:rPr>
          <w:rFonts w:eastAsia="Times New Roman"/>
        </w:rPr>
      </w:pPr>
      <w:r>
        <w:rPr>
          <w:rFonts w:eastAsia="Times New Roman"/>
        </w:rPr>
        <w:pict>
          <v:rect id="_x0000_i1142"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sz w:val="20"/>
          <w:szCs w:val="20"/>
        </w:rPr>
      </w:pPr>
      <w:r>
        <w:rPr>
          <w:sz w:val="20"/>
          <w:szCs w:val="20"/>
        </w:rPr>
        <w:t>The following summarizes the fair value of the Partnership’s derivative instruments and their location in the consolidated balance sheets as of September 28, 2019 and September 29, 2018, respectively:</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061"/>
        <w:gridCol w:w="65"/>
        <w:gridCol w:w="1882"/>
        <w:gridCol w:w="65"/>
        <w:gridCol w:w="115"/>
        <w:gridCol w:w="465"/>
        <w:gridCol w:w="65"/>
        <w:gridCol w:w="65"/>
        <w:gridCol w:w="1882"/>
        <w:gridCol w:w="65"/>
        <w:gridCol w:w="115"/>
        <w:gridCol w:w="565"/>
        <w:gridCol w:w="65"/>
      </w:tblGrid>
      <w:tr w:rsidR="00000000">
        <w:trPr>
          <w:divId w:val="1965579800"/>
        </w:trPr>
        <w:tc>
          <w:tcPr>
            <w:tcW w:w="197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1355"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 Septe</w:t>
            </w:r>
            <w:r>
              <w:rPr>
                <w:b/>
                <w:bCs/>
                <w:color w:val="000000"/>
                <w:sz w:val="16"/>
                <w:szCs w:val="16"/>
              </w:rPr>
              <w:t>mber 28, 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1355"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 September 29, 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65579800"/>
        </w:trPr>
        <w:tc>
          <w:tcPr>
            <w:tcW w:w="197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Asset Derivatives</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74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Location</w:t>
            </w:r>
          </w:p>
        </w:tc>
        <w:tc>
          <w:tcPr>
            <w:tcW w:w="153"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40"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Location</w:t>
            </w:r>
          </w:p>
        </w:tc>
        <w:tc>
          <w:tcPr>
            <w:tcW w:w="153"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65579800"/>
        </w:trPr>
        <w:tc>
          <w:tcPr>
            <w:tcW w:w="197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Derivatives not designated as hedging</w:t>
            </w:r>
          </w:p>
          <w:p w:rsidR="00000000" w:rsidRDefault="00827839">
            <w:pPr>
              <w:pStyle w:val="a3"/>
              <w:spacing w:before="0" w:beforeAutospacing="0" w:after="0" w:afterAutospacing="0"/>
              <w:rPr>
                <w:color w:val="000000"/>
                <w:sz w:val="20"/>
                <w:szCs w:val="20"/>
              </w:rPr>
            </w:pPr>
            <w:r>
              <w:rPr>
                <w:color w:val="000000"/>
                <w:sz w:val="20"/>
                <w:szCs w:val="20"/>
              </w:rPr>
              <w:t>   instruments:</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4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r>
      <w:tr w:rsidR="00000000">
        <w:trPr>
          <w:divId w:val="1965579800"/>
        </w:trPr>
        <w:tc>
          <w:tcPr>
            <w:tcW w:w="197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ind w:left="274"/>
              <w:rPr>
                <w:color w:val="000000"/>
                <w:sz w:val="20"/>
                <w:szCs w:val="20"/>
              </w:rPr>
            </w:pPr>
            <w:r>
              <w:rPr>
                <w:color w:val="000000"/>
                <w:sz w:val="20"/>
                <w:szCs w:val="20"/>
              </w:rPr>
              <w:t>Commodity-related derivatives</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current assets</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4,082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current assets</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14,875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65579800"/>
        </w:trPr>
        <w:tc>
          <w:tcPr>
            <w:tcW w:w="197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assets</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assets</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65579800"/>
        </w:trPr>
        <w:tc>
          <w:tcPr>
            <w:tcW w:w="197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14,888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65579800"/>
        </w:trPr>
        <w:tc>
          <w:tcPr>
            <w:tcW w:w="197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65579800"/>
        </w:trPr>
        <w:tc>
          <w:tcPr>
            <w:tcW w:w="197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Liability Derivatives</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4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Location</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40"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Location</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4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965579800"/>
        </w:trPr>
        <w:tc>
          <w:tcPr>
            <w:tcW w:w="197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Derivatives not designated as hedging</w:t>
            </w:r>
          </w:p>
          <w:p w:rsidR="00000000" w:rsidRDefault="00827839">
            <w:pPr>
              <w:pStyle w:val="a3"/>
              <w:spacing w:before="0" w:beforeAutospacing="0" w:after="0" w:afterAutospacing="0"/>
              <w:rPr>
                <w:color w:val="000000"/>
                <w:sz w:val="20"/>
                <w:szCs w:val="20"/>
              </w:rPr>
            </w:pPr>
            <w:r>
              <w:rPr>
                <w:color w:val="000000"/>
                <w:sz w:val="20"/>
                <w:szCs w:val="20"/>
              </w:rPr>
              <w:t>   instruments:</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65579800"/>
        </w:trPr>
        <w:tc>
          <w:tcPr>
            <w:tcW w:w="197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ind w:left="274"/>
              <w:rPr>
                <w:color w:val="000000"/>
                <w:sz w:val="20"/>
                <w:szCs w:val="20"/>
              </w:rPr>
            </w:pPr>
            <w:r>
              <w:rPr>
                <w:color w:val="000000"/>
                <w:sz w:val="20"/>
                <w:szCs w:val="20"/>
              </w:rPr>
              <w:t>Commodity-related derivatives</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current liabilities</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current </w:t>
            </w:r>
            <w:r>
              <w:rPr>
                <w:color w:val="000000"/>
                <w:sz w:val="20"/>
                <w:szCs w:val="20"/>
              </w:rPr>
              <w:t>liabilities</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65579800"/>
        </w:trPr>
        <w:tc>
          <w:tcPr>
            <w:tcW w:w="197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liabilities</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Other liabilities</w:t>
            </w:r>
          </w:p>
        </w:tc>
        <w:tc>
          <w:tcPr>
            <w:tcW w:w="153"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965579800"/>
        </w:trPr>
        <w:tc>
          <w:tcPr>
            <w:tcW w:w="197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4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53"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following summarizes the reconciliation of the beginning and ending balances of assets and liabilities measured at fair value on a recurring basis using significant unobservable inputs:</w:t>
      </w:r>
    </w:p>
    <w:p w:rsidR="00000000" w:rsidRDefault="00827839">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2"/>
        <w:gridCol w:w="69"/>
        <w:gridCol w:w="115"/>
        <w:gridCol w:w="665"/>
        <w:gridCol w:w="82"/>
        <w:gridCol w:w="70"/>
        <w:gridCol w:w="116"/>
        <w:gridCol w:w="667"/>
        <w:gridCol w:w="82"/>
        <w:gridCol w:w="70"/>
        <w:gridCol w:w="115"/>
        <w:gridCol w:w="665"/>
        <w:gridCol w:w="82"/>
        <w:gridCol w:w="70"/>
        <w:gridCol w:w="116"/>
        <w:gridCol w:w="667"/>
        <w:gridCol w:w="82"/>
      </w:tblGrid>
      <w:tr w:rsidR="00000000">
        <w:trPr>
          <w:divId w:val="6060848"/>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Fair Value Measurement Using Significant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Unobservable Inputs (Level 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060848"/>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3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060848"/>
        </w:trPr>
        <w:tc>
          <w:tcPr>
            <w:tcW w:w="251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060848"/>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Beginning balance of over-the-counter options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060848"/>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Beginning balance realized during the period</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(3,636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060848"/>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Contracts purchased during the period</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060848"/>
        </w:trPr>
        <w:tc>
          <w:tcPr>
            <w:tcW w:w="251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Change in the fair value of outstanding contracts</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060848"/>
        </w:trPr>
        <w:tc>
          <w:tcPr>
            <w:tcW w:w="251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Ending balance of over-the-counter options</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As of September 28, 2019 and September 29, 2018, the Partnership’s outstanding commodity-related derivatives had a weighted average maturity of approximately three and four months, respectively.</w:t>
      </w:r>
    </w:p>
    <w:p w:rsidR="00000000" w:rsidRDefault="00827839">
      <w:pPr>
        <w:pStyle w:val="a3"/>
        <w:spacing w:before="240" w:beforeAutospacing="0" w:after="0" w:afterAutospacing="0"/>
        <w:jc w:val="both"/>
        <w:rPr>
          <w:sz w:val="20"/>
          <w:szCs w:val="20"/>
        </w:rPr>
      </w:pPr>
      <w:r>
        <w:rPr>
          <w:sz w:val="20"/>
          <w:szCs w:val="20"/>
        </w:rPr>
        <w:t>The effect of the Partnership’s derivative instruments on t</w:t>
      </w:r>
      <w:r>
        <w:rPr>
          <w:sz w:val="20"/>
          <w:szCs w:val="20"/>
        </w:rPr>
        <w:t>he consolidated statements of operations for fiscal 2019, 2018 and 2017 are as follows:</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737"/>
        <w:gridCol w:w="92"/>
        <w:gridCol w:w="117"/>
        <w:gridCol w:w="1285"/>
        <w:gridCol w:w="82"/>
        <w:gridCol w:w="92"/>
        <w:gridCol w:w="1041"/>
        <w:gridCol w:w="92"/>
        <w:gridCol w:w="116"/>
        <w:gridCol w:w="909"/>
        <w:gridCol w:w="82"/>
      </w:tblGrid>
      <w:tr w:rsidR="00000000">
        <w:trPr>
          <w:divId w:val="611518681"/>
        </w:trPr>
        <w:tc>
          <w:tcPr>
            <w:tcW w:w="207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56"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640" w:type="pct"/>
            <w:gridSpan w:val="4"/>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(Losses) Reclassified from</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11518681"/>
        </w:trPr>
        <w:tc>
          <w:tcPr>
            <w:tcW w:w="207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Amount of (Losses)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640" w:type="pct"/>
            <w:gridSpan w:val="4"/>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Accumulated OCI into Income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11518681"/>
        </w:trPr>
        <w:tc>
          <w:tcPr>
            <w:tcW w:w="207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6"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Recognized  in OCI</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640"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(Effective Portion)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11518681"/>
        </w:trPr>
        <w:tc>
          <w:tcPr>
            <w:tcW w:w="2077"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Derivatives in Cash Flow Hedging Relationships</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0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(Effective Portion)</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80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Location</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5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11518681"/>
        </w:trPr>
        <w:tc>
          <w:tcPr>
            <w:tcW w:w="2077"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Interest rate swaps:</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01"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11518681"/>
        </w:trPr>
        <w:tc>
          <w:tcPr>
            <w:tcW w:w="207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Fiscal 2019</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9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0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Interest expense</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11518681"/>
        </w:trPr>
        <w:tc>
          <w:tcPr>
            <w:tcW w:w="207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0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11518681"/>
        </w:trPr>
        <w:tc>
          <w:tcPr>
            <w:tcW w:w="207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Fiscal 2018</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9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0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Interest expense</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11518681"/>
        </w:trPr>
        <w:tc>
          <w:tcPr>
            <w:tcW w:w="207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9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01"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11518681"/>
        </w:trPr>
        <w:tc>
          <w:tcPr>
            <w:tcW w:w="207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Fiscal 2017</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9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01"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Interest expense</w:t>
            </w:r>
          </w:p>
        </w:tc>
        <w:tc>
          <w:tcPr>
            <w:tcW w:w="8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7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bl>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345"/>
        <w:gridCol w:w="128"/>
        <w:gridCol w:w="1695"/>
        <w:gridCol w:w="128"/>
        <w:gridCol w:w="115"/>
        <w:gridCol w:w="1152"/>
        <w:gridCol w:w="82"/>
      </w:tblGrid>
      <w:tr w:rsidR="00000000">
        <w:trPr>
          <w:divId w:val="57825342"/>
        </w:trPr>
        <w:tc>
          <w:tcPr>
            <w:tcW w:w="252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sz w:val="20"/>
                <w:szCs w:val="20"/>
              </w:rPr>
            </w:pPr>
            <w:r>
              <w:rPr>
                <w:sz w:val="20"/>
                <w:szCs w:val="20"/>
              </w:rPr>
              <w:t> </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8"/>
                <w:szCs w:val="18"/>
              </w:rPr>
            </w:pPr>
            <w:r>
              <w:rPr>
                <w:color w:val="000000"/>
                <w:sz w:val="18"/>
                <w:szCs w:val="18"/>
              </w:rPr>
              <w:t> </w:t>
            </w:r>
          </w:p>
        </w:tc>
        <w:tc>
          <w:tcPr>
            <w:tcW w:w="231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Unrealized (Losses) Gains Recognized in Income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7825342"/>
        </w:trPr>
        <w:tc>
          <w:tcPr>
            <w:tcW w:w="2526"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Derivatives Not Designated as Hedging Instruments</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128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Location</w:t>
            </w:r>
          </w:p>
        </w:tc>
        <w:tc>
          <w:tcPr>
            <w:tcW w:w="106"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9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57825342"/>
        </w:trPr>
        <w:tc>
          <w:tcPr>
            <w:tcW w:w="2526"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Commodity-related derivatives:</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85" w:type="pct"/>
            <w:tcBorders>
              <w:top w:val="single" w:sz="6" w:space="0" w:color="000000"/>
            </w:tcBorders>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25342"/>
        </w:trPr>
        <w:tc>
          <w:tcPr>
            <w:tcW w:w="252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8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25342"/>
        </w:trPr>
        <w:tc>
          <w:tcPr>
            <w:tcW w:w="252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ind w:left="274"/>
              <w:rPr>
                <w:color w:val="000000"/>
                <w:sz w:val="20"/>
                <w:szCs w:val="20"/>
              </w:rPr>
            </w:pPr>
            <w:r>
              <w:rPr>
                <w:color w:val="000000"/>
                <w:sz w:val="20"/>
                <w:szCs w:val="20"/>
              </w:rPr>
              <w:t>Fiscal 2019</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8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Cost of products sold</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7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(8,008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57825342"/>
        </w:trPr>
        <w:tc>
          <w:tcPr>
            <w:tcW w:w="252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8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25342"/>
        </w:trPr>
        <w:tc>
          <w:tcPr>
            <w:tcW w:w="252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ind w:left="274"/>
              <w:rPr>
                <w:color w:val="000000"/>
                <w:sz w:val="20"/>
                <w:szCs w:val="20"/>
              </w:rPr>
            </w:pPr>
            <w:r>
              <w:rPr>
                <w:color w:val="000000"/>
                <w:sz w:val="20"/>
                <w:szCs w:val="20"/>
              </w:rPr>
              <w:t>Fiscal 2018</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8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Cost of products sold</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7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25342"/>
        </w:trPr>
        <w:tc>
          <w:tcPr>
            <w:tcW w:w="2526"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85"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87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57825342"/>
        </w:trPr>
        <w:tc>
          <w:tcPr>
            <w:tcW w:w="2526"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Fiscal 2017</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285"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center"/>
              <w:rPr>
                <w:color w:val="000000"/>
                <w:sz w:val="20"/>
                <w:szCs w:val="20"/>
              </w:rPr>
            </w:pPr>
            <w:r>
              <w:rPr>
                <w:color w:val="000000"/>
                <w:sz w:val="20"/>
                <w:szCs w:val="20"/>
              </w:rPr>
              <w:t>Cost of products sold</w:t>
            </w:r>
          </w:p>
        </w:tc>
        <w:tc>
          <w:tcPr>
            <w:tcW w:w="106"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87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6,277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4"/>
          <w:szCs w:val="4"/>
        </w:rPr>
      </w:pPr>
      <w:r>
        <w:rPr>
          <w:sz w:val="4"/>
          <w:szCs w:val="4"/>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F-28</w:t>
      </w:r>
    </w:p>
    <w:p w:rsidR="00000000" w:rsidRDefault="00827839">
      <w:pPr>
        <w:rPr>
          <w:rFonts w:eastAsia="Times New Roman"/>
        </w:rPr>
      </w:pPr>
      <w:r>
        <w:rPr>
          <w:rFonts w:eastAsia="Times New Roman"/>
        </w:rPr>
        <w:pict>
          <v:rect id="_x0000_i1143"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both"/>
        <w:rPr>
          <w:sz w:val="20"/>
          <w:szCs w:val="20"/>
        </w:rPr>
      </w:pPr>
      <w:r>
        <w:rPr>
          <w:sz w:val="20"/>
          <w:szCs w:val="20"/>
        </w:rPr>
        <w:t>The following table presents the fair value of the Partnership’</w:t>
      </w:r>
      <w:r>
        <w:rPr>
          <w:sz w:val="20"/>
          <w:szCs w:val="20"/>
        </w:rPr>
        <w:t>s recognized derivative assets and liabilities on a gross basis and amounts offset on the consolidated balance sheets subject to enforceable master netting arrangements or similar agreements:</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842"/>
        <w:gridCol w:w="65"/>
        <w:gridCol w:w="116"/>
        <w:gridCol w:w="953"/>
        <w:gridCol w:w="65"/>
        <w:gridCol w:w="65"/>
        <w:gridCol w:w="116"/>
        <w:gridCol w:w="1079"/>
        <w:gridCol w:w="82"/>
        <w:gridCol w:w="65"/>
        <w:gridCol w:w="117"/>
        <w:gridCol w:w="1015"/>
        <w:gridCol w:w="65"/>
      </w:tblGrid>
      <w:tr w:rsidR="00000000">
        <w:trPr>
          <w:divId w:val="406926228"/>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 September 28, 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406926228"/>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406926228"/>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406926228"/>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406926228"/>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Asset Derivatives</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406926228"/>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Commodity-related derivatives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10,464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406926228"/>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10,464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6,215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406926228"/>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406926228"/>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Liability Derivatives</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406926228"/>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Commodity-related derivatives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9,575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406926228"/>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9,575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842"/>
        <w:gridCol w:w="65"/>
        <w:gridCol w:w="116"/>
        <w:gridCol w:w="953"/>
        <w:gridCol w:w="65"/>
        <w:gridCol w:w="65"/>
        <w:gridCol w:w="116"/>
        <w:gridCol w:w="1079"/>
        <w:gridCol w:w="82"/>
        <w:gridCol w:w="65"/>
        <w:gridCol w:w="117"/>
        <w:gridCol w:w="1015"/>
        <w:gridCol w:w="65"/>
      </w:tblGrid>
      <w:tr w:rsidR="00000000">
        <w:trPr>
          <w:divId w:val="1702171036"/>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 September 29, 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02171036"/>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02171036"/>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02171036"/>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02171036"/>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Asset Derivatives</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r>
      <w:tr w:rsidR="00000000">
        <w:trPr>
          <w:divId w:val="1702171036"/>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Commodity-related derivatives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23,181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14,888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02171036"/>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23,181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14,888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02171036"/>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02171036"/>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Liability Derivatives</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02171036"/>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Commodity-related derivatives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14,582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02171036"/>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14,582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6,289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40" w:beforeAutospacing="0" w:after="0" w:afterAutospacing="0"/>
        <w:jc w:val="both"/>
        <w:rPr>
          <w:sz w:val="20"/>
          <w:szCs w:val="20"/>
        </w:rPr>
      </w:pPr>
      <w:r>
        <w:rPr>
          <w:sz w:val="20"/>
          <w:szCs w:val="20"/>
        </w:rPr>
        <w:t>The Partnership had $5,392 and $-0</w:t>
      </w:r>
      <w:r>
        <w:rPr>
          <w:sz w:val="20"/>
          <w:szCs w:val="20"/>
        </w:rPr>
        <w:t>- posted cash collateral as of September 28, 2019 and September 29, 2018, respectively, with its brokers for outstanding commodity-related derivatives.</w:t>
      </w:r>
    </w:p>
    <w:p w:rsidR="00000000" w:rsidRDefault="00827839">
      <w:pPr>
        <w:pStyle w:val="a3"/>
        <w:spacing w:before="240" w:beforeAutospacing="0" w:after="0" w:afterAutospacing="0"/>
        <w:jc w:val="both"/>
        <w:rPr>
          <w:b/>
          <w:bCs/>
          <w:sz w:val="20"/>
          <w:szCs w:val="20"/>
        </w:rPr>
      </w:pPr>
      <w:r>
        <w:rPr>
          <w:b/>
          <w:bCs/>
          <w:sz w:val="20"/>
          <w:szCs w:val="20"/>
        </w:rPr>
        <w:t>Concentrations.</w:t>
      </w:r>
      <w:r>
        <w:rPr>
          <w:sz w:val="20"/>
          <w:szCs w:val="20"/>
        </w:rPr>
        <w:t>  The Partnership’s principal customers are residential and commercial end users of propa</w:t>
      </w:r>
      <w:r>
        <w:rPr>
          <w:sz w:val="20"/>
          <w:szCs w:val="20"/>
        </w:rPr>
        <w:t>ne and fuel oil and refined fuels served by approximately 700 locations in 41 states.  No single customer accounted for more than 10% of revenues during fiscal 2019, 2018 or 2017 and no concentration of receivables exists as of September 28, 2019 or Septem</w:t>
      </w:r>
      <w:r>
        <w:rPr>
          <w:sz w:val="20"/>
          <w:szCs w:val="20"/>
        </w:rPr>
        <w:t>ber 29, 2018.</w:t>
      </w:r>
    </w:p>
    <w:p w:rsidR="00000000" w:rsidRDefault="00827839">
      <w:pPr>
        <w:pStyle w:val="a3"/>
        <w:spacing w:before="240" w:beforeAutospacing="0" w:after="0" w:afterAutospacing="0"/>
        <w:jc w:val="both"/>
        <w:rPr>
          <w:sz w:val="20"/>
          <w:szCs w:val="20"/>
        </w:rPr>
      </w:pPr>
      <w:r>
        <w:rPr>
          <w:sz w:val="20"/>
          <w:szCs w:val="20"/>
        </w:rPr>
        <w:t xml:space="preserve">During fiscal 2019, Crestwood Equity Partners L.P., Targa Liquids Marketing and Trade LLC and Enterprise Products Partners L.P., provided approximately 22%, 15%, and 11% of the Partnership’s total propane purchases, respectively.  No other single supplier </w:t>
      </w:r>
      <w:r>
        <w:rPr>
          <w:sz w:val="20"/>
          <w:szCs w:val="20"/>
        </w:rPr>
        <w:t>accounted for more than 10% of the Partnership’s propane purchases in fiscal 2019.  The Partnership believes that, if supplies from any of these suppliers were interrupted, it would be able to secure adequate propane supplies from other sources without a m</w:t>
      </w:r>
      <w:r>
        <w:rPr>
          <w:sz w:val="20"/>
          <w:szCs w:val="20"/>
        </w:rPr>
        <w:t>aterial disruption of its operations.</w:t>
      </w:r>
    </w:p>
    <w:p w:rsidR="00000000" w:rsidRDefault="00827839">
      <w:pPr>
        <w:pStyle w:val="a3"/>
        <w:spacing w:before="240" w:beforeAutospacing="0" w:after="0" w:afterAutospacing="0"/>
        <w:jc w:val="both"/>
        <w:rPr>
          <w:b/>
          <w:bCs/>
          <w:sz w:val="20"/>
          <w:szCs w:val="20"/>
        </w:rPr>
      </w:pPr>
      <w:r>
        <w:rPr>
          <w:b/>
          <w:bCs/>
          <w:sz w:val="20"/>
          <w:szCs w:val="20"/>
        </w:rPr>
        <w:t>Credit Risk.</w:t>
      </w:r>
      <w:r>
        <w:rPr>
          <w:sz w:val="20"/>
          <w:szCs w:val="20"/>
        </w:rPr>
        <w:t>  Exchange-traded futures and options contracts are traded on and guaranteed by the NYMEX and as a result, have minimal credit risk.  Futures contracts traded with brokers of the NYMEX require daily cash se</w:t>
      </w:r>
      <w:r>
        <w:rPr>
          <w:sz w:val="20"/>
          <w:szCs w:val="20"/>
        </w:rPr>
        <w:t>ttlements in margin accounts.  The Partnership is subject to credit risk with over-the-counter swaps and options contracts entered into with various third parties to the extent the counterparties do not perform.  The Partnership evaluates the financial con</w:t>
      </w:r>
      <w:r>
        <w:rPr>
          <w:sz w:val="20"/>
          <w:szCs w:val="20"/>
        </w:rPr>
        <w:t>dition of each counterparty with which it conducts business and establishes credit limits to reduce exposure to credit risk based on non-performance.  The Partnership does not require collateral to support the contracts.</w:t>
      </w:r>
    </w:p>
    <w:p w:rsidR="00000000" w:rsidRDefault="00827839">
      <w:pPr>
        <w:pStyle w:val="a3"/>
        <w:spacing w:before="240" w:beforeAutospacing="0" w:after="0" w:afterAutospacing="0"/>
        <w:jc w:val="both"/>
        <w:rPr>
          <w:b/>
          <w:bCs/>
          <w:sz w:val="20"/>
          <w:szCs w:val="20"/>
        </w:rPr>
      </w:pPr>
      <w:r>
        <w:rPr>
          <w:b/>
          <w:bCs/>
          <w:sz w:val="20"/>
          <w:szCs w:val="20"/>
        </w:rPr>
        <w:t>Bank Debt and Senior Notes.</w:t>
      </w:r>
      <w:r>
        <w:rPr>
          <w:sz w:val="20"/>
          <w:szCs w:val="20"/>
        </w:rPr>
        <w:t>  The fa</w:t>
      </w:r>
      <w:r>
        <w:rPr>
          <w:sz w:val="20"/>
          <w:szCs w:val="20"/>
        </w:rPr>
        <w:t>ir value of the Revolving Credit Facility approximates the carrying value since the interest rates are adjusted quarterly to reflect market conditions.  Based upon quoted market prices, the fair value of the Partnership’s 2024 Senior Notes, 2025 Senior Not</w:t>
      </w:r>
      <w:r>
        <w:rPr>
          <w:sz w:val="20"/>
          <w:szCs w:val="20"/>
        </w:rPr>
        <w:t>es, and 2027 Senior Notes was $540,094, $253,178 and $354,375, respectively, as of September 28, 2019.</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F-29</w:t>
      </w:r>
    </w:p>
    <w:p w:rsidR="00000000" w:rsidRDefault="00827839">
      <w:pPr>
        <w:rPr>
          <w:rFonts w:eastAsia="Times New Roman"/>
        </w:rPr>
      </w:pPr>
      <w:r>
        <w:rPr>
          <w:rFonts w:eastAsia="Times New Roman"/>
        </w:rPr>
        <w:pict>
          <v:rect id="_x0000_i1144"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85911098"/>
        </w:trPr>
        <w:tc>
          <w:tcPr>
            <w:tcW w:w="227" w:type="pct"/>
            <w:noWrap/>
            <w:hideMark/>
          </w:tcPr>
          <w:p w:rsidR="00000000" w:rsidRDefault="00827839">
            <w:pPr>
              <w:pStyle w:val="a3"/>
              <w:spacing w:before="160" w:beforeAutospacing="0" w:after="0" w:afterAutospacing="0"/>
              <w:jc w:val="both"/>
              <w:rPr>
                <w:b/>
                <w:bCs/>
                <w:sz w:val="20"/>
                <w:szCs w:val="20"/>
              </w:rPr>
            </w:pPr>
            <w:r>
              <w:rPr>
                <w:b/>
                <w:bCs/>
                <w:sz w:val="20"/>
                <w:szCs w:val="20"/>
              </w:rPr>
              <w:t>13.</w:t>
            </w:r>
          </w:p>
        </w:tc>
        <w:tc>
          <w:tcPr>
            <w:tcW w:w="0" w:type="auto"/>
            <w:hideMark/>
          </w:tcPr>
          <w:p w:rsidR="00000000" w:rsidRDefault="00827839">
            <w:pPr>
              <w:pStyle w:val="a3"/>
              <w:spacing w:before="160" w:beforeAutospacing="0" w:after="0" w:afterAutospacing="0"/>
              <w:jc w:val="both"/>
              <w:rPr>
                <w:b/>
                <w:bCs/>
                <w:sz w:val="20"/>
                <w:szCs w:val="20"/>
              </w:rPr>
            </w:pPr>
            <w:r>
              <w:rPr>
                <w:b/>
                <w:bCs/>
                <w:sz w:val="20"/>
                <w:szCs w:val="20"/>
              </w:rPr>
              <w:t>Commitments and Contingencies</w:t>
            </w:r>
          </w:p>
        </w:tc>
      </w:tr>
    </w:tbl>
    <w:p w:rsidR="00000000" w:rsidRDefault="00827839">
      <w:pPr>
        <w:pStyle w:val="a3"/>
        <w:spacing w:before="120" w:beforeAutospacing="0" w:after="0" w:afterAutospacing="0"/>
        <w:jc w:val="both"/>
        <w:rPr>
          <w:b/>
          <w:bCs/>
          <w:sz w:val="20"/>
          <w:szCs w:val="20"/>
        </w:rPr>
      </w:pPr>
      <w:r>
        <w:rPr>
          <w:b/>
          <w:bCs/>
          <w:sz w:val="20"/>
          <w:szCs w:val="20"/>
        </w:rPr>
        <w:t>Commitments.</w:t>
      </w:r>
      <w:r>
        <w:rPr>
          <w:sz w:val="20"/>
          <w:szCs w:val="20"/>
        </w:rPr>
        <w:t xml:space="preserve"> The Partnership leases certain property, plant and equipme</w:t>
      </w:r>
      <w:r>
        <w:rPr>
          <w:sz w:val="20"/>
          <w:szCs w:val="20"/>
        </w:rPr>
        <w:t>nt, including portions of the Partnership’s vehicle fleet, for various periods under noncancelable leases.  Rental expense under operating leases was $31,300, $30,075 and $30,582 for fiscal 2019, 2018 and 2017, respectively.</w:t>
      </w:r>
    </w:p>
    <w:p w:rsidR="00000000" w:rsidRDefault="00827839">
      <w:pPr>
        <w:pStyle w:val="a3"/>
        <w:spacing w:before="240" w:beforeAutospacing="0" w:after="0" w:afterAutospacing="0"/>
        <w:jc w:val="both"/>
        <w:rPr>
          <w:sz w:val="20"/>
          <w:szCs w:val="20"/>
        </w:rPr>
      </w:pPr>
      <w:r>
        <w:rPr>
          <w:sz w:val="20"/>
          <w:szCs w:val="20"/>
        </w:rPr>
        <w:t>Future minimum rental commitmen</w:t>
      </w:r>
      <w:r>
        <w:rPr>
          <w:sz w:val="20"/>
          <w:szCs w:val="20"/>
        </w:rPr>
        <w:t>ts under noncancelable operating lease agreements as of September 28, 2019 are as follows:</w:t>
      </w:r>
    </w:p>
    <w:p w:rsidR="00000000" w:rsidRDefault="00827839">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682"/>
        <w:gridCol w:w="98"/>
        <w:gridCol w:w="116"/>
        <w:gridCol w:w="1023"/>
        <w:gridCol w:w="65"/>
      </w:tblGrid>
      <w:tr w:rsidR="00000000">
        <w:trPr>
          <w:divId w:val="1583443656"/>
        </w:trPr>
        <w:tc>
          <w:tcPr>
            <w:tcW w:w="3721" w:type="pct"/>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Fiscal Year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110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Minimum Lease</w:t>
            </w:r>
          </w:p>
          <w:p w:rsidR="00000000" w:rsidRDefault="00827839">
            <w:pPr>
              <w:pStyle w:val="a3"/>
              <w:spacing w:before="0" w:beforeAutospacing="0" w:after="0" w:afterAutospacing="0"/>
              <w:jc w:val="center"/>
              <w:rPr>
                <w:b/>
                <w:bCs/>
                <w:color w:val="000000"/>
                <w:sz w:val="16"/>
                <w:szCs w:val="16"/>
              </w:rPr>
            </w:pPr>
            <w:r>
              <w:rPr>
                <w:b/>
                <w:bCs/>
                <w:color w:val="000000"/>
                <w:sz w:val="16"/>
                <w:szCs w:val="16"/>
              </w:rPr>
              <w:t>Payments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583443656"/>
        </w:trPr>
        <w:tc>
          <w:tcPr>
            <w:tcW w:w="3721" w:type="pct"/>
            <w:tcBorders>
              <w:top w:val="single" w:sz="6" w:space="0" w:color="000000"/>
            </w:tcBorders>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2020</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105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27,110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583443656"/>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2021</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23,875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583443656"/>
        </w:trPr>
        <w:tc>
          <w:tcPr>
            <w:tcW w:w="37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2022</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21,068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583443656"/>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2023</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16,267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583443656"/>
        </w:trPr>
        <w:tc>
          <w:tcPr>
            <w:tcW w:w="3721"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2024</w:t>
            </w:r>
          </w:p>
        </w:tc>
        <w:tc>
          <w:tcPr>
            <w:tcW w:w="125"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583443656"/>
        </w:trPr>
        <w:tc>
          <w:tcPr>
            <w:tcW w:w="3721"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2025 and thereafter</w:t>
            </w:r>
          </w:p>
        </w:tc>
        <w:tc>
          <w:tcPr>
            <w:tcW w:w="125"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105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25,128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jc w:val="both"/>
        <w:rPr>
          <w:b/>
          <w:bCs/>
        </w:rPr>
      </w:pPr>
      <w:r>
        <w:rPr>
          <w:b/>
          <w:bCs/>
        </w:rPr>
        <w:t> </w:t>
      </w:r>
    </w:p>
    <w:p w:rsidR="00000000" w:rsidRDefault="00827839">
      <w:pPr>
        <w:pStyle w:val="a3"/>
        <w:spacing w:before="120" w:beforeAutospacing="0" w:after="0" w:afterAutospacing="0"/>
        <w:jc w:val="both"/>
        <w:rPr>
          <w:b/>
          <w:bCs/>
          <w:sz w:val="20"/>
          <w:szCs w:val="20"/>
        </w:rPr>
      </w:pPr>
      <w:r>
        <w:rPr>
          <w:b/>
          <w:bCs/>
          <w:sz w:val="20"/>
          <w:szCs w:val="20"/>
        </w:rPr>
        <w:t>Contingencies</w:t>
      </w:r>
    </w:p>
    <w:p w:rsidR="00000000" w:rsidRDefault="00827839">
      <w:pPr>
        <w:pStyle w:val="a3"/>
        <w:spacing w:before="120" w:beforeAutospacing="0" w:after="0" w:afterAutospacing="0"/>
        <w:jc w:val="both"/>
        <w:rPr>
          <w:b/>
          <w:bCs/>
          <w:sz w:val="20"/>
          <w:szCs w:val="20"/>
        </w:rPr>
      </w:pPr>
      <w:r>
        <w:rPr>
          <w:b/>
          <w:bCs/>
          <w:sz w:val="20"/>
          <w:szCs w:val="20"/>
        </w:rPr>
        <w:t>Accrued Insurance.</w:t>
      </w:r>
      <w:r>
        <w:rPr>
          <w:sz w:val="20"/>
          <w:szCs w:val="20"/>
        </w:rPr>
        <w:t xml:space="preserve"> As described in Note 2, the Partnership is self-insured for general and product, workers’ </w:t>
      </w:r>
      <w:r>
        <w:rPr>
          <w:sz w:val="20"/>
          <w:szCs w:val="20"/>
        </w:rPr>
        <w:t>compensation and automobile liabilities up to predetermined amounts above which third party insurance applies.  At September 28, 2019 and September 29, 2018, the Partnership had accrued liabilities of $67,279 and $70,567, respectively, representing the tot</w:t>
      </w:r>
      <w:r>
        <w:rPr>
          <w:sz w:val="20"/>
          <w:szCs w:val="20"/>
        </w:rPr>
        <w:t>al estimated losses for known and anticipated or unasserted general and product, workers’ compensation and automobile claims.  For the portion of the estimated liability that exceeds insurance deductibles, the Partnership records an asset within other asse</w:t>
      </w:r>
      <w:r>
        <w:rPr>
          <w:sz w:val="20"/>
          <w:szCs w:val="20"/>
        </w:rPr>
        <w:t>ts (or prepaid expenses and other current assets, as applicable) related to the amount of the liability expected to be covered by insurance which amounted to $18,110 and $20,837 as of September 28, 2019 and September 29, 2018, respectively.</w:t>
      </w:r>
    </w:p>
    <w:p w:rsidR="00000000" w:rsidRDefault="00827839">
      <w:pPr>
        <w:pStyle w:val="a3"/>
        <w:spacing w:before="240" w:beforeAutospacing="0" w:after="0" w:afterAutospacing="0"/>
        <w:jc w:val="both"/>
        <w:rPr>
          <w:b/>
          <w:bCs/>
          <w:sz w:val="20"/>
          <w:szCs w:val="20"/>
        </w:rPr>
      </w:pPr>
      <w:r>
        <w:rPr>
          <w:b/>
          <w:bCs/>
          <w:sz w:val="20"/>
          <w:szCs w:val="20"/>
        </w:rPr>
        <w:t>Legal Matters.</w:t>
      </w:r>
      <w:r>
        <w:rPr>
          <w:sz w:val="20"/>
          <w:szCs w:val="20"/>
        </w:rPr>
        <w:t xml:space="preserve"> </w:t>
      </w:r>
      <w:r>
        <w:rPr>
          <w:sz w:val="20"/>
          <w:szCs w:val="20"/>
        </w:rPr>
        <w:t>The Partnership’s operations are subject to operating hazards and risks normally incidental to handling, storing and delivering combustible liquids such as propane.  The Partnership has been, and will continue to be, a defendant in various legal proceeding</w:t>
      </w:r>
      <w:r>
        <w:rPr>
          <w:sz w:val="20"/>
          <w:szCs w:val="20"/>
        </w:rPr>
        <w:t xml:space="preserve">s and litigation as a result of these operating hazards and risks, and as a result of other aspects of its business.  In this regard, the Partnership’s natural gas and electricity business is currently a defendant in two putative class action suits in the </w:t>
      </w:r>
      <w:r>
        <w:rPr>
          <w:sz w:val="20"/>
          <w:szCs w:val="20"/>
        </w:rPr>
        <w:t xml:space="preserve">federal district courts of New York and Pennsylvania. The complaints allege a number of claims under various consumer statutes and common law in New York and Pennsylvania regarding pricing offered to electricity customers in those states. The complaint in </w:t>
      </w:r>
      <w:r>
        <w:rPr>
          <w:sz w:val="20"/>
          <w:szCs w:val="20"/>
        </w:rPr>
        <w:t>the Pennsylvania action was dismissed in its entirety by the district court, which dismissal is being appealed by the plaintiff.  The complaint in the New York action was dismissed in part by the district court, but causes of action based on the New York c</w:t>
      </w:r>
      <w:r>
        <w:rPr>
          <w:sz w:val="20"/>
          <w:szCs w:val="20"/>
        </w:rPr>
        <w:t>onsumer statute and breach of contract were allowed to proceed.  Based on the nature of the allegations under these suits, the Partnership believes that the suits are without merit and is defending each of these suits vigorously. With respect to these pend</w:t>
      </w:r>
      <w:r>
        <w:rPr>
          <w:sz w:val="20"/>
          <w:szCs w:val="20"/>
        </w:rPr>
        <w:t>ing suits, the Partnership has determined, based on the allegations and discovery to date, that no reserve for a loss contingency is required.  The Partnership is unable to reasonably estimate the possible loss or range of loss, if any, arising from either</w:t>
      </w:r>
      <w:r>
        <w:rPr>
          <w:sz w:val="20"/>
          <w:szCs w:val="20"/>
        </w:rPr>
        <w:t xml:space="preserve"> of these two actions. Although any litigation is inherently uncertain, based on past experience, the information currently available to the Partnership, and the amount of its accrued insurance liabilities, the Partnership does not believe that currently p</w:t>
      </w:r>
      <w:r>
        <w:rPr>
          <w:sz w:val="20"/>
          <w:szCs w:val="20"/>
        </w:rPr>
        <w:t>ending or threatened litigation matters, or known claims or known contingent claims, will have a material adverse effect on its results of operations, financial condition or cash flow.</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12198586"/>
        </w:trPr>
        <w:tc>
          <w:tcPr>
            <w:tcW w:w="227" w:type="pct"/>
            <w:noWrap/>
            <w:hideMark/>
          </w:tcPr>
          <w:p w:rsidR="00000000" w:rsidRDefault="00827839">
            <w:pPr>
              <w:pStyle w:val="a3"/>
              <w:spacing w:before="160" w:beforeAutospacing="0" w:after="0" w:afterAutospacing="0"/>
              <w:rPr>
                <w:b/>
                <w:bCs/>
                <w:sz w:val="20"/>
                <w:szCs w:val="20"/>
              </w:rPr>
            </w:pPr>
            <w:r>
              <w:rPr>
                <w:b/>
                <w:bCs/>
                <w:sz w:val="20"/>
                <w:szCs w:val="20"/>
              </w:rPr>
              <w:t>14.</w:t>
            </w:r>
          </w:p>
        </w:tc>
        <w:tc>
          <w:tcPr>
            <w:tcW w:w="0" w:type="auto"/>
            <w:hideMark/>
          </w:tcPr>
          <w:p w:rsidR="00000000" w:rsidRDefault="00827839">
            <w:pPr>
              <w:pStyle w:val="a3"/>
              <w:spacing w:before="160" w:beforeAutospacing="0" w:after="0" w:afterAutospacing="0"/>
              <w:rPr>
                <w:b/>
                <w:bCs/>
                <w:sz w:val="20"/>
                <w:szCs w:val="20"/>
              </w:rPr>
            </w:pPr>
            <w:r>
              <w:rPr>
                <w:b/>
                <w:bCs/>
                <w:sz w:val="20"/>
                <w:szCs w:val="20"/>
              </w:rPr>
              <w:t>Guarantees</w:t>
            </w:r>
          </w:p>
        </w:tc>
      </w:tr>
    </w:tbl>
    <w:p w:rsidR="00000000" w:rsidRDefault="00827839">
      <w:pPr>
        <w:pStyle w:val="a3"/>
        <w:spacing w:before="120" w:beforeAutospacing="0" w:after="0" w:afterAutospacing="0"/>
        <w:jc w:val="both"/>
        <w:rPr>
          <w:sz w:val="20"/>
          <w:szCs w:val="20"/>
        </w:rPr>
      </w:pPr>
      <w:r>
        <w:rPr>
          <w:sz w:val="20"/>
          <w:szCs w:val="20"/>
        </w:rPr>
        <w:t>The Partnership has residual value guarantees associated with certain of its operating leases, related primarily to transportation equipment, with remaining lease periods scheduled to expire periodically through fiscal 2028.  Upon completion of the lease p</w:t>
      </w:r>
      <w:r>
        <w:rPr>
          <w:sz w:val="20"/>
          <w:szCs w:val="20"/>
        </w:rPr>
        <w:t>eriod, the Partnership guarantees that the fair value of the equipment will equal or exceed the guaranteed amount, or the Partnership will pay the lessor the difference.  Although the fair value of equipment at the end of its lease term has historically ex</w:t>
      </w:r>
      <w:r>
        <w:rPr>
          <w:sz w:val="20"/>
          <w:szCs w:val="20"/>
        </w:rPr>
        <w:t xml:space="preserve">ceeded the guaranteed amounts, the maximum potential amount of aggregate future payments the Partnership could be required to make under these leasing arrangements, assuming the equipment is deemed worthless at the end of the lease term, was $18,629 as of </w:t>
      </w:r>
      <w:r>
        <w:rPr>
          <w:sz w:val="20"/>
          <w:szCs w:val="20"/>
        </w:rPr>
        <w:t>September 28, 2019.  The fair value of residual value guarantees for outstanding operating leases was de minimis as of September 28, 2019 and September 29, 2018.</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F-30</w:t>
      </w:r>
    </w:p>
    <w:p w:rsidR="00000000" w:rsidRDefault="00827839">
      <w:pPr>
        <w:rPr>
          <w:rFonts w:eastAsia="Times New Roman"/>
        </w:rPr>
      </w:pPr>
      <w:r>
        <w:rPr>
          <w:rFonts w:eastAsia="Times New Roman"/>
        </w:rPr>
        <w:pict>
          <v:rect id="_x0000_i1145"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19523101"/>
        </w:trPr>
        <w:tc>
          <w:tcPr>
            <w:tcW w:w="227" w:type="pct"/>
            <w:noWrap/>
            <w:hideMark/>
          </w:tcPr>
          <w:p w:rsidR="00000000" w:rsidRDefault="00827839">
            <w:pPr>
              <w:pStyle w:val="a3"/>
              <w:spacing w:before="160" w:beforeAutospacing="0" w:after="0" w:afterAutospacing="0"/>
              <w:jc w:val="both"/>
              <w:rPr>
                <w:b/>
                <w:bCs/>
                <w:sz w:val="20"/>
                <w:szCs w:val="20"/>
              </w:rPr>
            </w:pPr>
            <w:r>
              <w:rPr>
                <w:b/>
                <w:bCs/>
                <w:sz w:val="20"/>
                <w:szCs w:val="20"/>
              </w:rPr>
              <w:t>15.</w:t>
            </w:r>
          </w:p>
        </w:tc>
        <w:tc>
          <w:tcPr>
            <w:tcW w:w="0" w:type="auto"/>
            <w:hideMark/>
          </w:tcPr>
          <w:p w:rsidR="00000000" w:rsidRDefault="00827839">
            <w:pPr>
              <w:pStyle w:val="a3"/>
              <w:spacing w:before="160" w:beforeAutospacing="0" w:after="0" w:afterAutospacing="0"/>
              <w:jc w:val="both"/>
              <w:rPr>
                <w:b/>
                <w:bCs/>
                <w:sz w:val="20"/>
                <w:szCs w:val="20"/>
              </w:rPr>
            </w:pPr>
            <w:r>
              <w:rPr>
                <w:b/>
                <w:bCs/>
                <w:sz w:val="20"/>
                <w:szCs w:val="20"/>
              </w:rPr>
              <w:t>Amounts Reclassified Out of Accumulated Other Comprehensive Income</w:t>
            </w:r>
          </w:p>
        </w:tc>
      </w:tr>
    </w:tbl>
    <w:p w:rsidR="00000000" w:rsidRDefault="00827839">
      <w:pPr>
        <w:pStyle w:val="a3"/>
        <w:spacing w:before="120" w:beforeAutospacing="0" w:after="0" w:afterAutospacing="0"/>
        <w:jc w:val="both"/>
        <w:rPr>
          <w:sz w:val="20"/>
          <w:szCs w:val="20"/>
        </w:rPr>
      </w:pPr>
      <w:r>
        <w:rPr>
          <w:sz w:val="20"/>
          <w:szCs w:val="20"/>
        </w:rPr>
        <w:t>The following table summarizes amounts reclassified out of accumulated other comprehensive (loss) income for the years ended September 28, 2019, September 29, 2018 and September 30, 2017:</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91"/>
        <w:gridCol w:w="65"/>
        <w:gridCol w:w="116"/>
        <w:gridCol w:w="688"/>
        <w:gridCol w:w="82"/>
        <w:gridCol w:w="65"/>
        <w:gridCol w:w="116"/>
        <w:gridCol w:w="688"/>
        <w:gridCol w:w="82"/>
        <w:gridCol w:w="65"/>
        <w:gridCol w:w="116"/>
        <w:gridCol w:w="689"/>
        <w:gridCol w:w="82"/>
      </w:tblGrid>
      <w:tr w:rsidR="00000000">
        <w:trPr>
          <w:divId w:val="660550730"/>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2001"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60550730"/>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60550730"/>
        </w:trPr>
        <w:tc>
          <w:tcPr>
            <w:tcW w:w="2880"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Cash Flow Hedges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comprehensive income before reclassifications: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Unrealized (losses)</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Reclassifications to earnings: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 xml:space="preserve">Realized losses </w:t>
            </w:r>
            <w:r>
              <w:rPr>
                <w:color w:val="000000"/>
                <w:sz w:val="16"/>
                <w:szCs w:val="16"/>
              </w:rPr>
              <w:t>(1)</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comprehensive income</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Pension Benefits</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(37,311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(51,391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comprehensive income before reclassifications:</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Net change in funded status of benefit plan</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(4,019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Reclassifications to earnings:</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Recognition of net actuarial loss for pension</w:t>
            </w:r>
          </w:p>
          <w:p w:rsidR="00000000" w:rsidRDefault="00827839">
            <w:pPr>
              <w:pStyle w:val="a3"/>
              <w:spacing w:before="0" w:beforeAutospacing="0" w:after="0" w:afterAutospacing="0"/>
              <w:ind w:left="547"/>
              <w:rPr>
                <w:color w:val="000000"/>
                <w:sz w:val="20"/>
                <w:szCs w:val="20"/>
              </w:rPr>
            </w:pPr>
            <w:r>
              <w:rPr>
                <w:color w:val="000000"/>
                <w:sz w:val="20"/>
                <w:szCs w:val="20"/>
              </w:rPr>
              <w:t xml:space="preserve">   settlement </w:t>
            </w:r>
            <w:r>
              <w:rPr>
                <w:color w:val="000000"/>
                <w:sz w:val="16"/>
                <w:szCs w:val="16"/>
              </w:rPr>
              <w:t>(2)</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 xml:space="preserve">Amortization of net loss </w:t>
            </w:r>
            <w:r>
              <w:rPr>
                <w:color w:val="000000"/>
                <w:sz w:val="16"/>
                <w:szCs w:val="16"/>
              </w:rPr>
              <w:t>(2)</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3,466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5,201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comprehensive (loss) income</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4,131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14,080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(33,733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(37,311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Postretirement Benefits</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8,499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5,764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comprehensive income before reclassifications:</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Prior service credits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3,246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Net change in plan obligation</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1,164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Reclassifications to earnings: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Amortization of prior service credits (2)</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Amortization of net gain (2)</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(655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comprehensive (loss) income</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2,735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7,547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8,499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Accumulated Other Comprehensive Income (Loss)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beginning of period</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(28,812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(45,832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Other comprehensive income before reclassifications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(3,723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1,612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5,893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Recognition of net actuarial loss for pension settlement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6,100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Reclassifications to earnings</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2,207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2,530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5,027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Other comprehensive (loss) income</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17,020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660550730"/>
        </w:trPr>
        <w:tc>
          <w:tcPr>
            <w:tcW w:w="2880"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Balance, end of period</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(28,812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78136819"/>
        </w:trPr>
        <w:tc>
          <w:tcPr>
            <w:tcW w:w="227" w:type="pct"/>
            <w:noWrap/>
            <w:hideMark/>
          </w:tcPr>
          <w:p w:rsidR="00000000" w:rsidRDefault="00827839">
            <w:pPr>
              <w:pStyle w:val="a3"/>
              <w:spacing w:before="40" w:beforeAutospacing="0" w:after="0" w:afterAutospacing="0"/>
              <w:jc w:val="both"/>
              <w:rPr>
                <w:sz w:val="20"/>
                <w:szCs w:val="20"/>
              </w:rPr>
            </w:pPr>
            <w:r>
              <w:rPr>
                <w:sz w:val="20"/>
                <w:szCs w:val="20"/>
              </w:rPr>
              <w:t>(1)</w:t>
            </w:r>
          </w:p>
        </w:tc>
        <w:tc>
          <w:tcPr>
            <w:tcW w:w="0" w:type="auto"/>
            <w:hideMark/>
          </w:tcPr>
          <w:p w:rsidR="00000000" w:rsidRDefault="00827839">
            <w:pPr>
              <w:pStyle w:val="a3"/>
              <w:spacing w:before="40" w:beforeAutospacing="0" w:after="0" w:afterAutospacing="0"/>
              <w:jc w:val="both"/>
              <w:rPr>
                <w:sz w:val="20"/>
                <w:szCs w:val="20"/>
              </w:rPr>
            </w:pPr>
            <w:r>
              <w:rPr>
                <w:sz w:val="20"/>
                <w:szCs w:val="20"/>
              </w:rPr>
              <w:t>Reclassification of realized losses on cash flow hedges are recognized in interest expense.</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27839">
            <w:pPr>
              <w:pStyle w:val="a3"/>
              <w:spacing w:before="120" w:beforeAutospacing="0" w:after="0" w:afterAutospacing="0"/>
              <w:jc w:val="both"/>
              <w:rPr>
                <w:sz w:val="20"/>
                <w:szCs w:val="20"/>
              </w:rPr>
            </w:pPr>
            <w:r>
              <w:rPr>
                <w:sz w:val="20"/>
                <w:szCs w:val="20"/>
              </w:rPr>
              <w:t>(2)</w:t>
            </w:r>
          </w:p>
        </w:tc>
        <w:tc>
          <w:tcPr>
            <w:tcW w:w="0" w:type="auto"/>
            <w:hideMark/>
          </w:tcPr>
          <w:p w:rsidR="00000000" w:rsidRDefault="00827839">
            <w:pPr>
              <w:pStyle w:val="a3"/>
              <w:spacing w:before="120" w:beforeAutospacing="0" w:after="0" w:afterAutospacing="0"/>
              <w:jc w:val="both"/>
              <w:rPr>
                <w:sz w:val="20"/>
                <w:szCs w:val="20"/>
              </w:rPr>
            </w:pPr>
            <w:r>
              <w:rPr>
                <w:sz w:val="20"/>
                <w:szCs w:val="20"/>
              </w:rPr>
              <w:t>These amounts are included in the computation of net periodic benefit cost.  See Note 11, “Employee Benefit Plans”.</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F-31</w:t>
      </w:r>
    </w:p>
    <w:p w:rsidR="00000000" w:rsidRDefault="00827839">
      <w:pPr>
        <w:rPr>
          <w:rFonts w:eastAsia="Times New Roman"/>
        </w:rPr>
      </w:pPr>
      <w:r>
        <w:rPr>
          <w:rFonts w:eastAsia="Times New Roman"/>
        </w:rPr>
        <w:pict>
          <v:rect id="_x0000_i1146"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34718403"/>
        </w:trPr>
        <w:tc>
          <w:tcPr>
            <w:tcW w:w="227" w:type="pct"/>
            <w:noWrap/>
            <w:hideMark/>
          </w:tcPr>
          <w:p w:rsidR="00000000" w:rsidRDefault="00827839">
            <w:pPr>
              <w:pStyle w:val="a3"/>
              <w:spacing w:before="160" w:beforeAutospacing="0" w:after="0" w:afterAutospacing="0"/>
              <w:rPr>
                <w:b/>
                <w:bCs/>
                <w:sz w:val="20"/>
                <w:szCs w:val="20"/>
              </w:rPr>
            </w:pPr>
            <w:r>
              <w:rPr>
                <w:b/>
                <w:bCs/>
                <w:sz w:val="20"/>
                <w:szCs w:val="20"/>
              </w:rPr>
              <w:t>16.</w:t>
            </w:r>
          </w:p>
        </w:tc>
        <w:tc>
          <w:tcPr>
            <w:tcW w:w="0" w:type="auto"/>
            <w:hideMark/>
          </w:tcPr>
          <w:p w:rsidR="00000000" w:rsidRDefault="00827839">
            <w:pPr>
              <w:pStyle w:val="a3"/>
              <w:spacing w:before="160" w:beforeAutospacing="0" w:after="0" w:afterAutospacing="0"/>
              <w:rPr>
                <w:b/>
                <w:bCs/>
                <w:sz w:val="20"/>
                <w:szCs w:val="20"/>
              </w:rPr>
            </w:pPr>
            <w:r>
              <w:rPr>
                <w:b/>
                <w:bCs/>
                <w:sz w:val="20"/>
                <w:szCs w:val="20"/>
              </w:rPr>
              <w:t>Segment Information</w:t>
            </w:r>
          </w:p>
        </w:tc>
      </w:tr>
    </w:tbl>
    <w:p w:rsidR="00000000" w:rsidRDefault="00827839">
      <w:pPr>
        <w:pStyle w:val="a3"/>
        <w:spacing w:before="120" w:beforeAutospacing="0" w:after="0" w:afterAutospacing="0"/>
        <w:jc w:val="both"/>
        <w:rPr>
          <w:sz w:val="20"/>
          <w:szCs w:val="20"/>
        </w:rPr>
      </w:pPr>
      <w:r>
        <w:rPr>
          <w:sz w:val="20"/>
          <w:szCs w:val="20"/>
        </w:rPr>
        <w:t>The Partnership manages and evaluates its operations in four operating segments, three of which are reportable segments: Propane, Fuel Oil and Refined Fuels and Natural Gas and Electricity.  Th</w:t>
      </w:r>
      <w:r>
        <w:rPr>
          <w:sz w:val="20"/>
          <w:szCs w:val="20"/>
        </w:rPr>
        <w:t>e chief operating decision maker evaluates performance of the operating segments using a number of performance measures, including gross margins and income before interest expense and provision for income taxes (operating profit).  Costs excluded from thes</w:t>
      </w:r>
      <w:r>
        <w:rPr>
          <w:sz w:val="20"/>
          <w:szCs w:val="20"/>
        </w:rPr>
        <w:t>e profit measures are captured in Corporate and include corporate overhead expenses not allocated to the operating segments.  Unallocated corporate overhead expenses include all costs of back office support functions that are reported as general and admini</w:t>
      </w:r>
      <w:r>
        <w:rPr>
          <w:sz w:val="20"/>
          <w:szCs w:val="20"/>
        </w:rPr>
        <w:t>strative expenses within the consolidated statements of operations.  In addition, certain costs associated with field operations support that are reported in operating expenses within the consolidated statements of operations, including purchasing, trainin</w:t>
      </w:r>
      <w:r>
        <w:rPr>
          <w:sz w:val="20"/>
          <w:szCs w:val="20"/>
        </w:rPr>
        <w:t>g and safety, are not allocated to the individual operating segments.  Thus, operating profit for each operating segment includes only the costs that are directly attributable to the operations of the individual segment. The accounting policies of the oper</w:t>
      </w:r>
      <w:r>
        <w:rPr>
          <w:sz w:val="20"/>
          <w:szCs w:val="20"/>
        </w:rPr>
        <w:t>ating segments are otherwise the same as those described in the summary of significant accounting policies in Note 2.</w:t>
      </w:r>
    </w:p>
    <w:p w:rsidR="00000000" w:rsidRDefault="00827839">
      <w:pPr>
        <w:pStyle w:val="a3"/>
        <w:spacing w:before="240" w:beforeAutospacing="0" w:after="0" w:afterAutospacing="0"/>
        <w:jc w:val="both"/>
        <w:rPr>
          <w:sz w:val="20"/>
          <w:szCs w:val="20"/>
        </w:rPr>
      </w:pPr>
      <w:r>
        <w:rPr>
          <w:sz w:val="20"/>
          <w:szCs w:val="20"/>
        </w:rPr>
        <w:t>The propane segment is primarily engaged in the retail distribution of propane to residential, commercial, industrial and agricultural cus</w:t>
      </w:r>
      <w:r>
        <w:rPr>
          <w:sz w:val="20"/>
          <w:szCs w:val="20"/>
        </w:rPr>
        <w:t>tomers and, to a lesser extent, wholesale distribution to large industrial end users.  In the residential and commercial markets, propane is used primarily for space heating, water heating, cooking and clothes drying. Industrial customers use propane gener</w:t>
      </w:r>
      <w:r>
        <w:rPr>
          <w:sz w:val="20"/>
          <w:szCs w:val="20"/>
        </w:rPr>
        <w:t xml:space="preserve">ally as a motor fuel burned in internal combustion engines that power over-the-road vehicles, forklifts and stationary engines, to fire furnaces and as a cutting gas.  In the agricultural markets, propane is primarily used for tobacco curing, crop drying, </w:t>
      </w:r>
      <w:r>
        <w:rPr>
          <w:sz w:val="20"/>
          <w:szCs w:val="20"/>
        </w:rPr>
        <w:t>poultry brooding and weed control.</w:t>
      </w:r>
    </w:p>
    <w:p w:rsidR="00000000" w:rsidRDefault="00827839">
      <w:pPr>
        <w:pStyle w:val="a3"/>
        <w:spacing w:before="240" w:beforeAutospacing="0" w:after="0" w:afterAutospacing="0"/>
        <w:jc w:val="both"/>
        <w:rPr>
          <w:sz w:val="20"/>
          <w:szCs w:val="20"/>
        </w:rPr>
      </w:pPr>
      <w:r>
        <w:rPr>
          <w:sz w:val="20"/>
          <w:szCs w:val="20"/>
        </w:rPr>
        <w:t xml:space="preserve">The fuel oil and refined fuels segment is primarily engaged in the retail distribution of fuel oil, diesel, kerosene and gasoline to residential and commercial customers for use primarily as a source of heat in homes and </w:t>
      </w:r>
      <w:r>
        <w:rPr>
          <w:sz w:val="20"/>
          <w:szCs w:val="20"/>
        </w:rPr>
        <w:t>buildings.</w:t>
      </w:r>
    </w:p>
    <w:p w:rsidR="00000000" w:rsidRDefault="00827839">
      <w:pPr>
        <w:pStyle w:val="a3"/>
        <w:spacing w:before="240" w:beforeAutospacing="0" w:after="0" w:afterAutospacing="0"/>
        <w:jc w:val="both"/>
        <w:rPr>
          <w:sz w:val="20"/>
          <w:szCs w:val="20"/>
        </w:rPr>
      </w:pPr>
      <w:r>
        <w:rPr>
          <w:sz w:val="20"/>
          <w:szCs w:val="20"/>
        </w:rPr>
        <w:t>The natural gas and electricity segment is engaged in the marketing of natural gas and electricity to residential and commercial customers in the deregulated energy markets of New York and Pennsylvania.  Under this operating segment, the Partner</w:t>
      </w:r>
      <w:r>
        <w:rPr>
          <w:sz w:val="20"/>
          <w:szCs w:val="20"/>
        </w:rPr>
        <w:t>ship owns the relationship with the end consumer and has agreements with the local distribution companies to deliver the natural gas or electricity from the Partnership’s suppliers to the customer.</w:t>
      </w:r>
    </w:p>
    <w:p w:rsidR="00000000" w:rsidRDefault="00827839">
      <w:pPr>
        <w:pStyle w:val="a3"/>
        <w:spacing w:before="240" w:beforeAutospacing="0" w:after="0" w:afterAutospacing="0"/>
        <w:jc w:val="both"/>
        <w:rPr>
          <w:sz w:val="20"/>
          <w:szCs w:val="20"/>
        </w:rPr>
      </w:pPr>
      <w:r>
        <w:rPr>
          <w:sz w:val="20"/>
          <w:szCs w:val="20"/>
        </w:rPr>
        <w:t xml:space="preserve">Activities in the “all other” </w:t>
      </w:r>
      <w:r>
        <w:rPr>
          <w:sz w:val="20"/>
          <w:szCs w:val="20"/>
        </w:rPr>
        <w:t>category include the Partnership’s service business, which is primarily engaged in the sale, installation and servicing of a wide variety of home comfort equipment, particularly in the areas of heating and ventilation.</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F-32</w:t>
      </w:r>
    </w:p>
    <w:p w:rsidR="00000000" w:rsidRDefault="00827839">
      <w:pPr>
        <w:rPr>
          <w:rFonts w:eastAsia="Times New Roman"/>
        </w:rPr>
      </w:pPr>
      <w:r>
        <w:rPr>
          <w:rFonts w:eastAsia="Times New Roman"/>
        </w:rPr>
        <w:pict>
          <v:rect id="_x0000_i1147"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240" w:beforeAutospacing="0" w:after="0" w:afterAutospacing="0"/>
        <w:jc w:val="both"/>
        <w:rPr>
          <w:sz w:val="20"/>
          <w:szCs w:val="20"/>
        </w:rPr>
      </w:pPr>
      <w:r>
        <w:rPr>
          <w:sz w:val="20"/>
          <w:szCs w:val="20"/>
        </w:rPr>
        <w:t>The following table presents certain data by reportable segment and provides a reconciliation of total operating segment information to the corresponding consolidated amounts for the periods presented:</w:t>
      </w:r>
    </w:p>
    <w:p w:rsidR="00000000" w:rsidRDefault="00827839">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414"/>
        <w:gridCol w:w="65"/>
        <w:gridCol w:w="115"/>
        <w:gridCol w:w="815"/>
        <w:gridCol w:w="82"/>
        <w:gridCol w:w="65"/>
        <w:gridCol w:w="115"/>
        <w:gridCol w:w="815"/>
        <w:gridCol w:w="82"/>
        <w:gridCol w:w="65"/>
        <w:gridCol w:w="115"/>
        <w:gridCol w:w="815"/>
        <w:gridCol w:w="82"/>
      </w:tblGrid>
      <w:tr w:rsidR="00000000">
        <w:trPr>
          <w:divId w:val="1231581623"/>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2005"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31581623"/>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31581623"/>
        </w:trPr>
        <w:tc>
          <w:tcPr>
            <w:tcW w:w="287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Revenues:</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1,083,446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1,153,323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1,011,078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92,084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91,520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78,126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45,206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54,308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55,103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46,969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45,262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43,579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revenues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1,267,705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1,344,413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1,187,886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Operating income (loss):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254,447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248,473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218,346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8,489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7,605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8,552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8,758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12,309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13,826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r>
              <w:rPr>
                <w:color w:val="000000"/>
                <w:sz w:val="20"/>
                <w:szCs w:val="20"/>
              </w:rPr>
              <w:t>19,516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(20,145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(23,017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Corporate</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(101,324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(90,239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(89,112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operating income</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150,854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158,003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128,595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Reconciliation to net income:</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Loss on debt extinguishment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1,567</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Interest expense, net</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76,663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77,383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75,263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Other, net</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4,702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4,692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13,311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Provision for (benefit from) income taxes</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459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Net income</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68,632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76,534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Depreciation and amortization:</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108,763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111,460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111,374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2,083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2,574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2,610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Corporate</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9,830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10,973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13,671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31581623"/>
        </w:trPr>
        <w:tc>
          <w:tcPr>
            <w:tcW w:w="287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depreciation and amortization</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120,872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125,222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127,938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1749843473"/>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16"/>
                <w:szCs w:val="16"/>
              </w:rPr>
            </w:pPr>
            <w:r>
              <w:rPr>
                <w:sz w:val="16"/>
                <w:szCs w:val="16"/>
              </w:rPr>
              <w:t> </w:t>
            </w:r>
          </w:p>
        </w:tc>
        <w:tc>
          <w:tcPr>
            <w:tcW w:w="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49843473"/>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49843473"/>
        </w:trPr>
        <w:tc>
          <w:tcPr>
            <w:tcW w:w="3354"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74984347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4984347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1,904,344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1,995,060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4984347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44,279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47,911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4984347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11,907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13,067</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4984347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2,950</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3,363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49843473"/>
        </w:trPr>
        <w:tc>
          <w:tcPr>
            <w:tcW w:w="3354"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Corporate</w:t>
            </w:r>
          </w:p>
        </w:tc>
        <w:tc>
          <w:tcPr>
            <w:tcW w:w="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34,868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41,798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749843473"/>
        </w:trPr>
        <w:tc>
          <w:tcPr>
            <w:tcW w:w="3354"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02493606"/>
        </w:trPr>
        <w:tc>
          <w:tcPr>
            <w:tcW w:w="227" w:type="pct"/>
            <w:noWrap/>
            <w:hideMark/>
          </w:tcPr>
          <w:p w:rsidR="00000000" w:rsidRDefault="00827839">
            <w:pPr>
              <w:pStyle w:val="a3"/>
              <w:spacing w:before="160" w:beforeAutospacing="0" w:after="0" w:afterAutospacing="0"/>
              <w:jc w:val="both"/>
              <w:rPr>
                <w:b/>
                <w:bCs/>
                <w:sz w:val="20"/>
                <w:szCs w:val="20"/>
              </w:rPr>
            </w:pPr>
            <w:r>
              <w:rPr>
                <w:b/>
                <w:bCs/>
                <w:sz w:val="20"/>
                <w:szCs w:val="20"/>
              </w:rPr>
              <w:t>17.</w:t>
            </w:r>
          </w:p>
        </w:tc>
        <w:tc>
          <w:tcPr>
            <w:tcW w:w="0" w:type="auto"/>
            <w:hideMark/>
          </w:tcPr>
          <w:p w:rsidR="00000000" w:rsidRDefault="00827839">
            <w:pPr>
              <w:pStyle w:val="a3"/>
              <w:spacing w:before="160" w:beforeAutospacing="0" w:after="0" w:afterAutospacing="0"/>
              <w:jc w:val="both"/>
              <w:rPr>
                <w:b/>
                <w:bCs/>
                <w:sz w:val="20"/>
                <w:szCs w:val="20"/>
              </w:rPr>
            </w:pPr>
            <w:r>
              <w:rPr>
                <w:b/>
                <w:bCs/>
                <w:sz w:val="20"/>
                <w:szCs w:val="20"/>
              </w:rPr>
              <w:t>Subsequent Event</w:t>
            </w:r>
          </w:p>
        </w:tc>
      </w:tr>
    </w:tbl>
    <w:p w:rsidR="00000000" w:rsidRDefault="00827839">
      <w:pPr>
        <w:pStyle w:val="a3"/>
        <w:spacing w:before="120" w:beforeAutospacing="0" w:after="0" w:afterAutospacing="0"/>
        <w:jc w:val="both"/>
        <w:rPr>
          <w:sz w:val="20"/>
          <w:szCs w:val="20"/>
        </w:rPr>
      </w:pPr>
      <w:r>
        <w:rPr>
          <w:sz w:val="20"/>
          <w:szCs w:val="20"/>
        </w:rPr>
        <w:t>On October 30, 2019, the Operating Partnership acquired the propane assets and operations of a propane retailer operating in a strategic market on the west coast for $13,000, including $1,000 for non-compete consideration, plus working capital acquired. Th</w:t>
      </w:r>
      <w:r>
        <w:rPr>
          <w:sz w:val="20"/>
          <w:szCs w:val="20"/>
        </w:rPr>
        <w:t>e acquisition was consummated pursuant to the Partnership’s strategic growth initiatives.</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F-33</w:t>
      </w:r>
    </w:p>
    <w:p w:rsidR="00000000" w:rsidRDefault="00827839">
      <w:pPr>
        <w:rPr>
          <w:rFonts w:eastAsia="Times New Roman"/>
        </w:rPr>
      </w:pPr>
      <w:r>
        <w:rPr>
          <w:rFonts w:eastAsia="Times New Roman"/>
        </w:rPr>
        <w:pict>
          <v:rect id="_x0000_i1148"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center"/>
        <w:rPr>
          <w:b/>
          <w:bCs/>
          <w:sz w:val="20"/>
          <w:szCs w:val="20"/>
        </w:rPr>
      </w:pPr>
      <w:r>
        <w:rPr>
          <w:b/>
          <w:bCs/>
          <w:sz w:val="20"/>
          <w:szCs w:val="20"/>
        </w:rPr>
        <w:t>INDEX TO FINANCIAL STATEMENT SCHEDULE</w:t>
      </w:r>
    </w:p>
    <w:p w:rsidR="00000000" w:rsidRDefault="00827839">
      <w:pPr>
        <w:pStyle w:val="a3"/>
        <w:spacing w:before="24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02"/>
        <w:gridCol w:w="83"/>
        <w:gridCol w:w="7014"/>
        <w:gridCol w:w="78"/>
        <w:gridCol w:w="329"/>
      </w:tblGrid>
      <w:tr w:rsidR="00000000">
        <w:trPr>
          <w:divId w:val="1148014015"/>
        </w:trPr>
        <w:tc>
          <w:tcPr>
            <w:tcW w:w="491" w:type="pct"/>
            <w:vAlign w:val="center"/>
            <w:hideMark/>
          </w:tcPr>
          <w:p w:rsidR="00000000" w:rsidRDefault="00827839">
            <w:pPr>
              <w:rPr>
                <w:sz w:val="20"/>
                <w:szCs w:val="20"/>
              </w:rPr>
            </w:pPr>
          </w:p>
        </w:tc>
        <w:tc>
          <w:tcPr>
            <w:tcW w:w="58" w:type="pct"/>
            <w:vAlign w:val="center"/>
            <w:hideMark/>
          </w:tcPr>
          <w:p w:rsidR="00000000" w:rsidRDefault="00827839">
            <w:pPr>
              <w:rPr>
                <w:rFonts w:eastAsia="Times New Roman"/>
                <w:sz w:val="20"/>
                <w:szCs w:val="20"/>
              </w:rPr>
            </w:pPr>
          </w:p>
        </w:tc>
        <w:tc>
          <w:tcPr>
            <w:tcW w:w="4228" w:type="pct"/>
            <w:vAlign w:val="center"/>
            <w:hideMark/>
          </w:tcPr>
          <w:p w:rsidR="00000000" w:rsidRDefault="00827839">
            <w:pPr>
              <w:rPr>
                <w:rFonts w:eastAsia="Times New Roman"/>
                <w:sz w:val="20"/>
                <w:szCs w:val="20"/>
              </w:rPr>
            </w:pPr>
          </w:p>
        </w:tc>
        <w:tc>
          <w:tcPr>
            <w:tcW w:w="55" w:type="pct"/>
            <w:vAlign w:val="center"/>
            <w:hideMark/>
          </w:tcPr>
          <w:p w:rsidR="00000000" w:rsidRDefault="00827839">
            <w:pPr>
              <w:rPr>
                <w:rFonts w:eastAsia="Times New Roman"/>
                <w:sz w:val="20"/>
                <w:szCs w:val="20"/>
              </w:rPr>
            </w:pPr>
          </w:p>
        </w:tc>
        <w:tc>
          <w:tcPr>
            <w:tcW w:w="166" w:type="pct"/>
            <w:vAlign w:val="center"/>
            <w:hideMark/>
          </w:tcPr>
          <w:p w:rsidR="00000000" w:rsidRDefault="00827839">
            <w:pPr>
              <w:rPr>
                <w:rFonts w:eastAsia="Times New Roman"/>
                <w:sz w:val="20"/>
                <w:szCs w:val="20"/>
              </w:rPr>
            </w:pPr>
          </w:p>
        </w:tc>
      </w:tr>
      <w:tr w:rsidR="00000000">
        <w:trPr>
          <w:divId w:val="1148014015"/>
        </w:trPr>
        <w:tc>
          <w:tcPr>
            <w:tcW w:w="0" w:type="auto"/>
            <w:hideMark/>
          </w:tcPr>
          <w:p w:rsidR="00000000" w:rsidRDefault="00827839">
            <w:pPr>
              <w:pStyle w:val="a3"/>
              <w:spacing w:before="0" w:beforeAutospacing="0" w:after="0" w:afterAutospacing="0"/>
              <w:rPr>
                <w:sz w:val="16"/>
                <w:szCs w:val="16"/>
              </w:rPr>
            </w:pPr>
            <w:r>
              <w:rPr>
                <w:sz w:val="16"/>
                <w:szCs w:val="16"/>
              </w:rPr>
              <w:t> </w:t>
            </w:r>
          </w:p>
        </w:tc>
        <w:tc>
          <w:tcPr>
            <w:tcW w:w="0" w:type="auto"/>
            <w:hideMark/>
          </w:tcPr>
          <w:p w:rsidR="00000000" w:rsidRDefault="00827839">
            <w:pPr>
              <w:pStyle w:val="a3"/>
              <w:spacing w:before="0" w:beforeAutospacing="0" w:after="0" w:afterAutospacing="0"/>
              <w:rPr>
                <w:sz w:val="16"/>
                <w:szCs w:val="16"/>
              </w:rPr>
            </w:pPr>
            <w:r>
              <w:rPr>
                <w:sz w:val="16"/>
                <w:szCs w:val="16"/>
              </w:rPr>
              <w:t> </w:t>
            </w:r>
          </w:p>
        </w:tc>
        <w:tc>
          <w:tcPr>
            <w:tcW w:w="0" w:type="auto"/>
            <w:hideMark/>
          </w:tcPr>
          <w:p w:rsidR="00000000" w:rsidRDefault="00827839">
            <w:pPr>
              <w:pStyle w:val="a3"/>
              <w:spacing w:before="0" w:beforeAutospacing="0" w:after="0" w:afterAutospacing="0"/>
              <w:rPr>
                <w:sz w:val="16"/>
                <w:szCs w:val="16"/>
              </w:rPr>
            </w:pPr>
            <w:r>
              <w:rPr>
                <w:sz w:val="16"/>
                <w:szCs w:val="16"/>
              </w:rPr>
              <w:t> </w:t>
            </w:r>
          </w:p>
        </w:tc>
        <w:tc>
          <w:tcPr>
            <w:tcW w:w="0" w:type="auto"/>
            <w:hideMark/>
          </w:tcPr>
          <w:p w:rsidR="00000000" w:rsidRDefault="00827839">
            <w:pPr>
              <w:pStyle w:val="a3"/>
              <w:spacing w:before="0" w:beforeAutospacing="0" w:after="0" w:afterAutospacing="0"/>
              <w:rPr>
                <w:sz w:val="16"/>
                <w:szCs w:val="16"/>
              </w:rPr>
            </w:pPr>
            <w:r>
              <w:rPr>
                <w:sz w:val="16"/>
                <w:szCs w:val="16"/>
              </w:rPr>
              <w:t> </w:t>
            </w:r>
          </w:p>
        </w:tc>
        <w:tc>
          <w:tcPr>
            <w:tcW w:w="0" w:type="auto"/>
            <w:tcBorders>
              <w:bottom w:val="single" w:sz="6" w:space="0" w:color="000000"/>
            </w:tcBorders>
            <w:vAlign w:val="bottom"/>
            <w:hideMark/>
          </w:tcPr>
          <w:p w:rsidR="00000000" w:rsidRDefault="00827839">
            <w:pPr>
              <w:pStyle w:val="a3"/>
              <w:spacing w:before="0" w:beforeAutospacing="0" w:after="0" w:afterAutospacing="0"/>
              <w:jc w:val="center"/>
              <w:rPr>
                <w:b/>
                <w:bCs/>
                <w:sz w:val="16"/>
                <w:szCs w:val="16"/>
              </w:rPr>
            </w:pPr>
            <w:r>
              <w:rPr>
                <w:b/>
                <w:bCs/>
                <w:sz w:val="16"/>
                <w:szCs w:val="16"/>
              </w:rPr>
              <w:t>Page</w:t>
            </w:r>
          </w:p>
        </w:tc>
      </w:tr>
      <w:tr w:rsidR="00000000">
        <w:trPr>
          <w:divId w:val="1148014015"/>
          <w:trHeight w:val="395"/>
        </w:trPr>
        <w:tc>
          <w:tcPr>
            <w:tcW w:w="0" w:type="auto"/>
            <w:hideMark/>
          </w:tcPr>
          <w:p w:rsidR="00000000" w:rsidRDefault="00827839">
            <w:pPr>
              <w:pStyle w:val="a3"/>
              <w:spacing w:before="0" w:beforeAutospacing="0" w:after="0" w:afterAutospacing="0"/>
              <w:rPr>
                <w:sz w:val="20"/>
                <w:szCs w:val="20"/>
              </w:rPr>
            </w:pPr>
            <w:r>
              <w:rPr>
                <w:sz w:val="20"/>
                <w:szCs w:val="20"/>
              </w:rPr>
              <w:t>Schedule II</w:t>
            </w:r>
          </w:p>
        </w:tc>
        <w:tc>
          <w:tcPr>
            <w:tcW w:w="0" w:type="auto"/>
            <w:hideMark/>
          </w:tcPr>
          <w:p w:rsidR="00000000" w:rsidRDefault="00827839">
            <w:pPr>
              <w:pStyle w:val="a3"/>
              <w:spacing w:before="0" w:beforeAutospacing="0" w:after="0" w:afterAutospacing="0"/>
              <w:rPr>
                <w:sz w:val="20"/>
                <w:szCs w:val="20"/>
              </w:rPr>
            </w:pPr>
            <w:r>
              <w:rPr>
                <w:sz w:val="20"/>
                <w:szCs w:val="20"/>
              </w:rPr>
              <w:t> </w:t>
            </w:r>
          </w:p>
        </w:tc>
        <w:tc>
          <w:tcPr>
            <w:tcW w:w="0" w:type="auto"/>
            <w:hideMark/>
          </w:tcPr>
          <w:p w:rsidR="00000000" w:rsidRDefault="00827839">
            <w:pPr>
              <w:pStyle w:val="a3"/>
              <w:spacing w:before="0" w:beforeAutospacing="0" w:after="0" w:afterAutospacing="0"/>
              <w:ind w:left="245" w:hanging="245"/>
              <w:rPr>
                <w:sz w:val="20"/>
                <w:szCs w:val="20"/>
              </w:rPr>
            </w:pPr>
            <w:hyperlink w:anchor="VALUATION_QUALIFYING_ACCOUNTS" w:history="1">
              <w:r>
                <w:rPr>
                  <w:rStyle w:val="a4"/>
                  <w:sz w:val="20"/>
                  <w:szCs w:val="20"/>
                </w:rPr>
                <w:t>Valuation and Qualifying Accounts – Years Ended September 28, 2019, September 29, 2018 and September 30, 2017</w:t>
              </w:r>
            </w:hyperlink>
            <w:r>
              <w:rPr>
                <w:sz w:val="20"/>
                <w:szCs w:val="20"/>
                <w:u w:val="single"/>
              </w:rPr>
              <w:t xml:space="preserve"> </w:t>
            </w:r>
          </w:p>
        </w:tc>
        <w:tc>
          <w:tcPr>
            <w:tcW w:w="0" w:type="auto"/>
            <w:hideMark/>
          </w:tcPr>
          <w:p w:rsidR="00000000" w:rsidRDefault="00827839">
            <w:pPr>
              <w:pStyle w:val="a3"/>
              <w:spacing w:before="0" w:beforeAutospacing="0" w:after="0" w:afterAutospacing="0"/>
              <w:rPr>
                <w:sz w:val="20"/>
                <w:szCs w:val="20"/>
              </w:rPr>
            </w:pPr>
            <w:r>
              <w:rPr>
                <w:sz w:val="20"/>
                <w:szCs w:val="20"/>
              </w:rPr>
              <w:t> </w:t>
            </w:r>
          </w:p>
        </w:tc>
        <w:tc>
          <w:tcPr>
            <w:tcW w:w="0" w:type="auto"/>
            <w:tcBorders>
              <w:top w:val="single" w:sz="6" w:space="0" w:color="000000"/>
            </w:tcBorders>
            <w:vAlign w:val="bottom"/>
            <w:hideMark/>
          </w:tcPr>
          <w:p w:rsidR="00000000" w:rsidRDefault="00827839">
            <w:pPr>
              <w:pStyle w:val="a3"/>
              <w:spacing w:before="0" w:beforeAutospacing="0" w:after="0" w:afterAutospacing="0"/>
              <w:jc w:val="right"/>
              <w:rPr>
                <w:sz w:val="20"/>
                <w:szCs w:val="20"/>
              </w:rPr>
            </w:pPr>
            <w:r>
              <w:rPr>
                <w:sz w:val="20"/>
                <w:szCs w:val="20"/>
              </w:rPr>
              <w:t>S-2</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000000" w:rsidRDefault="00827839">
      <w:pPr>
        <w:pStyle w:val="a3"/>
        <w:spacing w:before="0" w:beforeAutospacing="0" w:after="0" w:afterAutospacing="0"/>
        <w:jc w:val="center"/>
        <w:rPr>
          <w:sz w:val="20"/>
          <w:szCs w:val="20"/>
        </w:rPr>
      </w:pPr>
      <w:r>
        <w:rPr>
          <w:sz w:val="20"/>
          <w:szCs w:val="20"/>
        </w:rPr>
        <w:t>S-1</w:t>
      </w:r>
    </w:p>
    <w:p w:rsidR="00000000" w:rsidRDefault="00827839">
      <w:pPr>
        <w:rPr>
          <w:rFonts w:eastAsia="Times New Roman"/>
        </w:rPr>
      </w:pPr>
      <w:r>
        <w:rPr>
          <w:rFonts w:eastAsia="Times New Roman"/>
        </w:rPr>
        <w:pict>
          <v:rect id="_x0000_i1149" style="width:0;height:1.5pt" o:hralign="center" o:hrstd="t" o:hr="t" fillcolor="#a0a0a0" stroked="f"/>
        </w:pict>
      </w:r>
    </w:p>
    <w:p w:rsidR="00000000" w:rsidRDefault="00827839">
      <w:pPr>
        <w:pStyle w:val="a3"/>
        <w:spacing w:before="0" w:beforeAutospacing="0" w:after="0" w:afterAutospacing="0"/>
        <w:rPr>
          <w:sz w:val="2"/>
          <w:szCs w:val="2"/>
        </w:rPr>
      </w:pPr>
      <w:r>
        <w:rPr>
          <w:sz w:val="2"/>
          <w:szCs w:val="2"/>
        </w:rPr>
        <w:t> </w:t>
      </w:r>
    </w:p>
    <w:p w:rsidR="00000000" w:rsidRDefault="00827839">
      <w:pPr>
        <w:pStyle w:val="a3"/>
        <w:spacing w:before="0" w:beforeAutospacing="0" w:after="0" w:afterAutospacing="0"/>
        <w:jc w:val="right"/>
        <w:rPr>
          <w:b/>
          <w:bCs/>
          <w:sz w:val="20"/>
          <w:szCs w:val="20"/>
        </w:rPr>
      </w:pPr>
      <w:r>
        <w:rPr>
          <w:b/>
          <w:bCs/>
          <w:sz w:val="20"/>
          <w:szCs w:val="20"/>
          <w:u w:val="single"/>
        </w:rPr>
        <w:t>SCHEDULE II</w:t>
      </w:r>
    </w:p>
    <w:p w:rsidR="00000000" w:rsidRDefault="00827839">
      <w:pPr>
        <w:pStyle w:val="a3"/>
        <w:spacing w:before="240" w:beforeAutospacing="0" w:after="0" w:afterAutospacing="0"/>
        <w:jc w:val="center"/>
        <w:rPr>
          <w:b/>
          <w:bCs/>
          <w:sz w:val="20"/>
          <w:szCs w:val="20"/>
        </w:rPr>
      </w:pPr>
      <w:r>
        <w:rPr>
          <w:b/>
          <w:bCs/>
          <w:sz w:val="20"/>
          <w:szCs w:val="20"/>
        </w:rPr>
        <w:t>SUBURBAN PROPANE PARTNERS, L.P. AND SUBSIDIARIES</w:t>
      </w:r>
    </w:p>
    <w:p w:rsidR="00000000" w:rsidRDefault="00827839">
      <w:pPr>
        <w:pStyle w:val="a3"/>
        <w:spacing w:before="240" w:beforeAutospacing="0" w:after="0" w:afterAutospacing="0"/>
        <w:jc w:val="center"/>
        <w:rPr>
          <w:b/>
          <w:bCs/>
          <w:sz w:val="20"/>
          <w:szCs w:val="20"/>
        </w:rPr>
      </w:pPr>
      <w:r>
        <w:rPr>
          <w:b/>
          <w:bCs/>
          <w:sz w:val="20"/>
          <w:szCs w:val="20"/>
        </w:rPr>
        <w:t>VALUATION AND QUALIFYING ACCOUN</w:t>
      </w:r>
      <w:r>
        <w:rPr>
          <w:b/>
          <w:bCs/>
          <w:sz w:val="20"/>
          <w:szCs w:val="20"/>
        </w:rPr>
        <w:t>TS</w:t>
      </w:r>
    </w:p>
    <w:p w:rsidR="00000000" w:rsidRDefault="00827839">
      <w:pPr>
        <w:pStyle w:val="a3"/>
        <w:spacing w:before="0" w:beforeAutospacing="0" w:after="0" w:afterAutospacing="0"/>
        <w:jc w:val="center"/>
        <w:rPr>
          <w:sz w:val="20"/>
          <w:szCs w:val="20"/>
        </w:rPr>
      </w:pPr>
      <w:r>
        <w:rPr>
          <w:sz w:val="20"/>
          <w:szCs w:val="20"/>
        </w:rPr>
        <w:t>(in thousands)</w:t>
      </w:r>
    </w:p>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39"/>
        <w:gridCol w:w="65"/>
        <w:gridCol w:w="138"/>
        <w:gridCol w:w="1234"/>
        <w:gridCol w:w="65"/>
        <w:gridCol w:w="65"/>
        <w:gridCol w:w="116"/>
        <w:gridCol w:w="1380"/>
        <w:gridCol w:w="82"/>
        <w:gridCol w:w="65"/>
        <w:gridCol w:w="116"/>
        <w:gridCol w:w="1017"/>
        <w:gridCol w:w="65"/>
        <w:gridCol w:w="339"/>
        <w:gridCol w:w="116"/>
        <w:gridCol w:w="906"/>
        <w:gridCol w:w="82"/>
        <w:gridCol w:w="65"/>
        <w:gridCol w:w="116"/>
        <w:gridCol w:w="870"/>
        <w:gridCol w:w="65"/>
      </w:tblGrid>
      <w:tr w:rsidR="00000000">
        <w:trPr>
          <w:divId w:val="1267275095"/>
        </w:trPr>
        <w:tc>
          <w:tcPr>
            <w:tcW w:w="17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sz w:val="20"/>
                <w:szCs w:val="20"/>
              </w:rPr>
            </w:pPr>
            <w:r>
              <w:rPr>
                <w:sz w:val="20"/>
                <w:szCs w:val="20"/>
              </w:rPr>
              <w:t> </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Balance 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Beginning of</w:t>
            </w:r>
            <w:r>
              <w:rPr>
                <w:rFonts w:ascii="Calibri" w:hAnsi="Calibri" w:cs="Calibri"/>
                <w:b/>
                <w:bCs/>
                <w:color w:val="000000"/>
                <w:sz w:val="16"/>
                <w:szCs w:val="16"/>
              </w:rPr>
              <w:t> </w:t>
            </w:r>
            <w:r>
              <w:rPr>
                <w:b/>
                <w:bCs/>
                <w:color w:val="000000"/>
                <w:sz w:val="16"/>
                <w:szCs w:val="16"/>
              </w:rPr>
              <w:t>Period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6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Charged (credited) to</w:t>
            </w:r>
          </w:p>
          <w:p w:rsidR="00000000" w:rsidRDefault="00827839">
            <w:pPr>
              <w:pStyle w:val="a3"/>
              <w:spacing w:before="0" w:beforeAutospacing="0" w:after="0" w:afterAutospacing="0"/>
              <w:jc w:val="center"/>
              <w:rPr>
                <w:b/>
                <w:bCs/>
                <w:color w:val="000000"/>
                <w:sz w:val="16"/>
                <w:szCs w:val="16"/>
              </w:rPr>
            </w:pPr>
            <w:r>
              <w:rPr>
                <w:b/>
                <w:bCs/>
                <w:color w:val="000000"/>
                <w:sz w:val="16"/>
                <w:szCs w:val="16"/>
              </w:rPr>
              <w:t>Costs and Expenses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16"/>
                <w:szCs w:val="16"/>
              </w:rPr>
            </w:pPr>
            <w:r>
              <w:rPr>
                <w:color w:val="000000"/>
                <w:sz w:val="16"/>
                <w:szCs w:val="16"/>
              </w:rPr>
              <w:t> </w:t>
            </w:r>
          </w:p>
        </w:tc>
        <w:tc>
          <w:tcPr>
            <w:tcW w:w="50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Other Additions</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Deductions (a)</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 </w:t>
            </w:r>
          </w:p>
        </w:tc>
        <w:tc>
          <w:tcPr>
            <w:tcW w:w="50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center"/>
              <w:rPr>
                <w:b/>
                <w:bCs/>
                <w:color w:val="000000"/>
                <w:sz w:val="16"/>
                <w:szCs w:val="16"/>
              </w:rPr>
            </w:pPr>
            <w:r>
              <w:rPr>
                <w:b/>
                <w:bCs/>
                <w:color w:val="000000"/>
                <w:sz w:val="16"/>
                <w:szCs w:val="16"/>
              </w:rPr>
              <w:t>Balance at</w:t>
            </w:r>
          </w:p>
          <w:p w:rsidR="00000000" w:rsidRDefault="00827839">
            <w:pPr>
              <w:pStyle w:val="a3"/>
              <w:spacing w:before="0" w:beforeAutospacing="0" w:after="0" w:afterAutospacing="0"/>
              <w:jc w:val="center"/>
              <w:rPr>
                <w:b/>
                <w:bCs/>
                <w:color w:val="000000"/>
                <w:sz w:val="16"/>
                <w:szCs w:val="16"/>
              </w:rPr>
            </w:pPr>
            <w:r>
              <w:rPr>
                <w:b/>
                <w:bCs/>
                <w:color w:val="000000"/>
                <w:sz w:val="16"/>
                <w:szCs w:val="16"/>
              </w:rPr>
              <w:t>End of Period</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b/>
                <w:bCs/>
                <w:color w:val="000000"/>
                <w:sz w:val="16"/>
                <w:szCs w:val="16"/>
              </w:rPr>
            </w:pPr>
            <w:r>
              <w:rPr>
                <w:b/>
                <w:bCs/>
                <w:color w:val="000000"/>
                <w:sz w:val="16"/>
                <w:szCs w:val="16"/>
              </w:rPr>
              <w:t> </w:t>
            </w:r>
          </w:p>
        </w:tc>
      </w:tr>
      <w:tr w:rsidR="00000000">
        <w:trPr>
          <w:divId w:val="1267275095"/>
        </w:trPr>
        <w:tc>
          <w:tcPr>
            <w:tcW w:w="177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ind w:left="274"/>
              <w:rPr>
                <w:b/>
                <w:bCs/>
                <w:color w:val="000000"/>
                <w:sz w:val="20"/>
                <w:szCs w:val="20"/>
              </w:rPr>
            </w:pPr>
            <w:r>
              <w:rPr>
                <w:b/>
                <w:bCs/>
                <w:color w:val="000000"/>
                <w:sz w:val="20"/>
                <w:szCs w:val="20"/>
              </w:rPr>
              <w:t>Year Ended September 30, 2017</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tcBorders>
              <w:top w:val="single" w:sz="6" w:space="0" w:color="000000"/>
            </w:tcBorders>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Allowance for doubtful accounts</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3,545</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(2,942</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3,044</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Valuation allowance for deferred tax assets</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58,782</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5"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406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59,188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ind w:left="274"/>
              <w:rPr>
                <w:b/>
                <w:bCs/>
                <w:color w:val="000000"/>
                <w:sz w:val="20"/>
                <w:szCs w:val="20"/>
              </w:rPr>
            </w:pPr>
            <w:r>
              <w:rPr>
                <w:b/>
                <w:bCs/>
                <w:color w:val="000000"/>
                <w:sz w:val="20"/>
                <w:szCs w:val="20"/>
              </w:rPr>
              <w:t>Year Ended September 29, 2018</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Allowance for doubtful accounts</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3,044</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5"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4,443</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(3,858</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3,629</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Valuation allowance for deferred tax assets</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59,188</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(1,366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(19,941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37,881</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ind w:left="274"/>
              <w:rPr>
                <w:b/>
                <w:bCs/>
                <w:color w:val="000000"/>
                <w:sz w:val="20"/>
                <w:szCs w:val="20"/>
              </w:rPr>
            </w:pPr>
            <w:r>
              <w:rPr>
                <w:b/>
                <w:bCs/>
                <w:color w:val="000000"/>
                <w:sz w:val="20"/>
                <w:szCs w:val="20"/>
              </w:rPr>
              <w:t>Year Ended September 28, 2019</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5"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Allowance for doubtful accounts</w:t>
            </w:r>
          </w:p>
        </w:tc>
        <w:tc>
          <w:tcPr>
            <w:tcW w:w="58" w:type="pct"/>
            <w:shd w:val="clear" w:color="auto" w:fill="FFFFFF"/>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3,629</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625"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2,580</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(3,636</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w:t>
            </w:r>
          </w:p>
        </w:tc>
        <w:tc>
          <w:tcPr>
            <w:tcW w:w="4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2,573</w:t>
            </w:r>
          </w:p>
        </w:tc>
        <w:tc>
          <w:tcPr>
            <w:tcW w:w="50" w:type="pct"/>
            <w:shd w:val="clear" w:color="auto" w:fill="FFFFFF"/>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r>
      <w:tr w:rsidR="00000000">
        <w:trPr>
          <w:divId w:val="1267275095"/>
        </w:trPr>
        <w:tc>
          <w:tcPr>
            <w:tcW w:w="1779"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ind w:left="274"/>
              <w:rPr>
                <w:color w:val="000000"/>
                <w:sz w:val="20"/>
                <w:szCs w:val="20"/>
              </w:rPr>
            </w:pPr>
            <w:r>
              <w:rPr>
                <w:color w:val="000000"/>
                <w:sz w:val="20"/>
                <w:szCs w:val="20"/>
              </w:rPr>
              <w:t>Valuation allowance for deferred tax assets</w:t>
            </w:r>
          </w:p>
        </w:tc>
        <w:tc>
          <w:tcPr>
            <w:tcW w:w="58" w:type="pct"/>
            <w:shd w:val="clear" w:color="auto" w:fill="CFF0FC"/>
            <w:tcMar>
              <w:top w:w="15" w:type="dxa"/>
              <w:left w:w="0" w:type="dxa"/>
              <w:bottom w:w="0" w:type="dxa"/>
              <w:right w:w="15" w:type="dxa"/>
            </w:tcMar>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37,881</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625"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0"/>
                <w:szCs w:val="20"/>
              </w:rPr>
            </w:pPr>
            <w:r>
              <w:rPr>
                <w:color w:val="000000"/>
                <w:sz w:val="20"/>
                <w:szCs w:val="20"/>
              </w:rPr>
              <w:t> </w:t>
            </w:r>
          </w:p>
        </w:tc>
        <w:tc>
          <w:tcPr>
            <w:tcW w:w="4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jc w:val="right"/>
              <w:rPr>
                <w:color w:val="000000"/>
                <w:sz w:val="20"/>
                <w:szCs w:val="20"/>
              </w:rPr>
            </w:pPr>
            <w:r>
              <w:rPr>
                <w:color w:val="000000"/>
                <w:sz w:val="20"/>
                <w:szCs w:val="20"/>
              </w:rPr>
              <w:t>37,996</w:t>
            </w:r>
          </w:p>
        </w:tc>
        <w:tc>
          <w:tcPr>
            <w:tcW w:w="50" w:type="pct"/>
            <w:shd w:val="clear" w:color="auto" w:fill="CFF0FC"/>
            <w:noWrap/>
            <w:tcMar>
              <w:top w:w="15" w:type="dxa"/>
              <w:left w:w="0" w:type="dxa"/>
              <w:bottom w:w="0" w:type="dxa"/>
              <w:right w:w="15" w:type="dxa"/>
            </w:tcMar>
            <w:vAlign w:val="bottom"/>
            <w:hideMark/>
          </w:tcPr>
          <w:p w:rsidR="00000000" w:rsidRDefault="00827839">
            <w:pPr>
              <w:pStyle w:val="a3"/>
              <w:spacing w:before="0" w:beforeAutospacing="0" w:after="0" w:afterAutospacing="0"/>
              <w:rPr>
                <w:color w:val="000000"/>
                <w:sz w:val="2"/>
                <w:szCs w:val="2"/>
              </w:rPr>
            </w:pPr>
            <w:r>
              <w:rPr>
                <w:color w:val="000000"/>
                <w:sz w:val="2"/>
                <w:szCs w:val="2"/>
              </w:rPr>
              <w:t> </w:t>
            </w:r>
          </w:p>
        </w:tc>
      </w:tr>
    </w:tbl>
    <w:p w:rsidR="00000000" w:rsidRDefault="0082783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83961126"/>
        </w:trPr>
        <w:tc>
          <w:tcPr>
            <w:tcW w:w="227" w:type="pct"/>
            <w:noWrap/>
            <w:hideMark/>
          </w:tcPr>
          <w:p w:rsidR="00000000" w:rsidRDefault="00827839">
            <w:pPr>
              <w:pStyle w:val="a3"/>
              <w:spacing w:before="40" w:beforeAutospacing="0" w:after="0" w:afterAutospacing="0"/>
              <w:jc w:val="both"/>
              <w:rPr>
                <w:sz w:val="20"/>
                <w:szCs w:val="20"/>
              </w:rPr>
            </w:pPr>
            <w:r>
              <w:rPr>
                <w:sz w:val="20"/>
                <w:szCs w:val="20"/>
              </w:rPr>
              <w:t>(a)</w:t>
            </w:r>
          </w:p>
        </w:tc>
        <w:tc>
          <w:tcPr>
            <w:tcW w:w="0" w:type="auto"/>
            <w:hideMark/>
          </w:tcPr>
          <w:p w:rsidR="00000000" w:rsidRDefault="00827839">
            <w:pPr>
              <w:pStyle w:val="a3"/>
              <w:spacing w:before="40" w:beforeAutospacing="0" w:after="0" w:afterAutospacing="0"/>
              <w:jc w:val="both"/>
              <w:rPr>
                <w:sz w:val="20"/>
                <w:szCs w:val="20"/>
              </w:rPr>
            </w:pPr>
            <w:r>
              <w:rPr>
                <w:sz w:val="20"/>
                <w:szCs w:val="20"/>
              </w:rPr>
              <w:t>Represents amounts that did not impact earnings.</w:t>
            </w:r>
          </w:p>
        </w:tc>
      </w:tr>
    </w:tbl>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0" w:beforeAutospacing="0" w:after="0" w:afterAutospacing="0"/>
        <w:rPr>
          <w:sz w:val="20"/>
          <w:szCs w:val="20"/>
        </w:rPr>
      </w:pPr>
      <w:r>
        <w:rPr>
          <w:sz w:val="20"/>
          <w:szCs w:val="20"/>
        </w:rPr>
        <w:t> </w:t>
      </w:r>
    </w:p>
    <w:p w:rsidR="00000000" w:rsidRDefault="00827839">
      <w:pPr>
        <w:pStyle w:val="a3"/>
        <w:spacing w:before="240" w:beforeAutospacing="0" w:after="0" w:afterAutospacing="0"/>
        <w:jc w:val="center"/>
        <w:rPr>
          <w:sz w:val="20"/>
          <w:szCs w:val="20"/>
        </w:rPr>
      </w:pPr>
      <w:r>
        <w:rPr>
          <w:sz w:val="20"/>
          <w:szCs w:val="20"/>
        </w:rPr>
        <w:t> </w:t>
      </w:r>
    </w:p>
    <w:p w:rsidR="00827839" w:rsidRDefault="00827839">
      <w:pPr>
        <w:pStyle w:val="a3"/>
        <w:spacing w:before="0" w:beforeAutospacing="0" w:after="0" w:afterAutospacing="0"/>
        <w:jc w:val="center"/>
        <w:rPr>
          <w:sz w:val="20"/>
          <w:szCs w:val="20"/>
        </w:rPr>
      </w:pPr>
      <w:r>
        <w:rPr>
          <w:sz w:val="20"/>
          <w:szCs w:val="20"/>
        </w:rPr>
        <w:t>S-2</w:t>
      </w:r>
    </w:p>
    <w:sectPr w:rsidR="0082783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7839"/>
    <w:rsid w:val="00827839"/>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suburbanpropane.com/20190928"/>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invest/2013-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262">
      <w:marLeft w:val="0"/>
      <w:marRight w:val="0"/>
      <w:marTop w:val="0"/>
      <w:marBottom w:val="0"/>
      <w:divBdr>
        <w:top w:val="none" w:sz="0" w:space="0" w:color="auto"/>
        <w:left w:val="none" w:sz="0" w:space="0" w:color="auto"/>
        <w:bottom w:val="none" w:sz="0" w:space="0" w:color="auto"/>
        <w:right w:val="none" w:sz="0" w:space="0" w:color="auto"/>
      </w:divBdr>
    </w:div>
    <w:div w:id="6060848">
      <w:marLeft w:val="0"/>
      <w:marRight w:val="0"/>
      <w:marTop w:val="0"/>
      <w:marBottom w:val="0"/>
      <w:divBdr>
        <w:top w:val="none" w:sz="0" w:space="0" w:color="auto"/>
        <w:left w:val="none" w:sz="0" w:space="0" w:color="auto"/>
        <w:bottom w:val="none" w:sz="0" w:space="0" w:color="auto"/>
        <w:right w:val="none" w:sz="0" w:space="0" w:color="auto"/>
      </w:divBdr>
    </w:div>
    <w:div w:id="43679182">
      <w:marLeft w:val="0"/>
      <w:marRight w:val="0"/>
      <w:marTop w:val="0"/>
      <w:marBottom w:val="0"/>
      <w:divBdr>
        <w:top w:val="none" w:sz="0" w:space="0" w:color="auto"/>
        <w:left w:val="none" w:sz="0" w:space="0" w:color="auto"/>
        <w:bottom w:val="none" w:sz="0" w:space="0" w:color="auto"/>
        <w:right w:val="none" w:sz="0" w:space="0" w:color="auto"/>
      </w:divBdr>
    </w:div>
    <w:div w:id="57825342">
      <w:marLeft w:val="0"/>
      <w:marRight w:val="0"/>
      <w:marTop w:val="0"/>
      <w:marBottom w:val="0"/>
      <w:divBdr>
        <w:top w:val="none" w:sz="0" w:space="0" w:color="auto"/>
        <w:left w:val="none" w:sz="0" w:space="0" w:color="auto"/>
        <w:bottom w:val="none" w:sz="0" w:space="0" w:color="auto"/>
        <w:right w:val="none" w:sz="0" w:space="0" w:color="auto"/>
      </w:divBdr>
    </w:div>
    <w:div w:id="68844459">
      <w:marLeft w:val="0"/>
      <w:marRight w:val="0"/>
      <w:marTop w:val="0"/>
      <w:marBottom w:val="0"/>
      <w:divBdr>
        <w:top w:val="none" w:sz="0" w:space="0" w:color="auto"/>
        <w:left w:val="none" w:sz="0" w:space="0" w:color="auto"/>
        <w:bottom w:val="none" w:sz="0" w:space="0" w:color="auto"/>
        <w:right w:val="none" w:sz="0" w:space="0" w:color="auto"/>
      </w:divBdr>
    </w:div>
    <w:div w:id="81682115">
      <w:marLeft w:val="0"/>
      <w:marRight w:val="0"/>
      <w:marTop w:val="0"/>
      <w:marBottom w:val="0"/>
      <w:divBdr>
        <w:top w:val="none" w:sz="0" w:space="0" w:color="auto"/>
        <w:left w:val="none" w:sz="0" w:space="0" w:color="auto"/>
        <w:bottom w:val="none" w:sz="0" w:space="0" w:color="auto"/>
        <w:right w:val="none" w:sz="0" w:space="0" w:color="auto"/>
      </w:divBdr>
    </w:div>
    <w:div w:id="85197117">
      <w:marLeft w:val="0"/>
      <w:marRight w:val="0"/>
      <w:marTop w:val="0"/>
      <w:marBottom w:val="0"/>
      <w:divBdr>
        <w:top w:val="none" w:sz="0" w:space="0" w:color="auto"/>
        <w:left w:val="none" w:sz="0" w:space="0" w:color="auto"/>
        <w:bottom w:val="none" w:sz="0" w:space="0" w:color="auto"/>
        <w:right w:val="none" w:sz="0" w:space="0" w:color="auto"/>
      </w:divBdr>
    </w:div>
    <w:div w:id="88670633">
      <w:marLeft w:val="0"/>
      <w:marRight w:val="0"/>
      <w:marTop w:val="0"/>
      <w:marBottom w:val="0"/>
      <w:divBdr>
        <w:top w:val="none" w:sz="0" w:space="0" w:color="auto"/>
        <w:left w:val="none" w:sz="0" w:space="0" w:color="auto"/>
        <w:bottom w:val="none" w:sz="0" w:space="0" w:color="auto"/>
        <w:right w:val="none" w:sz="0" w:space="0" w:color="auto"/>
      </w:divBdr>
    </w:div>
    <w:div w:id="91557112">
      <w:marLeft w:val="0"/>
      <w:marRight w:val="0"/>
      <w:marTop w:val="0"/>
      <w:marBottom w:val="0"/>
      <w:divBdr>
        <w:top w:val="none" w:sz="0" w:space="0" w:color="auto"/>
        <w:left w:val="none" w:sz="0" w:space="0" w:color="auto"/>
        <w:bottom w:val="none" w:sz="0" w:space="0" w:color="auto"/>
        <w:right w:val="none" w:sz="0" w:space="0" w:color="auto"/>
      </w:divBdr>
    </w:div>
    <w:div w:id="92358862">
      <w:marLeft w:val="0"/>
      <w:marRight w:val="0"/>
      <w:marTop w:val="0"/>
      <w:marBottom w:val="0"/>
      <w:divBdr>
        <w:top w:val="none" w:sz="0" w:space="0" w:color="auto"/>
        <w:left w:val="none" w:sz="0" w:space="0" w:color="auto"/>
        <w:bottom w:val="none" w:sz="0" w:space="0" w:color="auto"/>
        <w:right w:val="none" w:sz="0" w:space="0" w:color="auto"/>
      </w:divBdr>
    </w:div>
    <w:div w:id="95758104">
      <w:marLeft w:val="0"/>
      <w:marRight w:val="0"/>
      <w:marTop w:val="0"/>
      <w:marBottom w:val="0"/>
      <w:divBdr>
        <w:top w:val="none" w:sz="0" w:space="0" w:color="auto"/>
        <w:left w:val="none" w:sz="0" w:space="0" w:color="auto"/>
        <w:bottom w:val="none" w:sz="0" w:space="0" w:color="auto"/>
        <w:right w:val="none" w:sz="0" w:space="0" w:color="auto"/>
      </w:divBdr>
    </w:div>
    <w:div w:id="123280012">
      <w:marLeft w:val="0"/>
      <w:marRight w:val="0"/>
      <w:marTop w:val="0"/>
      <w:marBottom w:val="0"/>
      <w:divBdr>
        <w:top w:val="none" w:sz="0" w:space="0" w:color="auto"/>
        <w:left w:val="none" w:sz="0" w:space="0" w:color="auto"/>
        <w:bottom w:val="none" w:sz="0" w:space="0" w:color="auto"/>
        <w:right w:val="none" w:sz="0" w:space="0" w:color="auto"/>
      </w:divBdr>
    </w:div>
    <w:div w:id="124542850">
      <w:marLeft w:val="0"/>
      <w:marRight w:val="0"/>
      <w:marTop w:val="0"/>
      <w:marBottom w:val="0"/>
      <w:divBdr>
        <w:top w:val="none" w:sz="0" w:space="0" w:color="auto"/>
        <w:left w:val="none" w:sz="0" w:space="0" w:color="auto"/>
        <w:bottom w:val="none" w:sz="0" w:space="0" w:color="auto"/>
        <w:right w:val="none" w:sz="0" w:space="0" w:color="auto"/>
      </w:divBdr>
    </w:div>
    <w:div w:id="137036651">
      <w:marLeft w:val="0"/>
      <w:marRight w:val="0"/>
      <w:marTop w:val="0"/>
      <w:marBottom w:val="0"/>
      <w:divBdr>
        <w:top w:val="none" w:sz="0" w:space="0" w:color="auto"/>
        <w:left w:val="none" w:sz="0" w:space="0" w:color="auto"/>
        <w:bottom w:val="none" w:sz="0" w:space="0" w:color="auto"/>
        <w:right w:val="none" w:sz="0" w:space="0" w:color="auto"/>
      </w:divBdr>
    </w:div>
    <w:div w:id="166092055">
      <w:marLeft w:val="0"/>
      <w:marRight w:val="0"/>
      <w:marTop w:val="0"/>
      <w:marBottom w:val="0"/>
      <w:divBdr>
        <w:top w:val="none" w:sz="0" w:space="0" w:color="auto"/>
        <w:left w:val="none" w:sz="0" w:space="0" w:color="auto"/>
        <w:bottom w:val="none" w:sz="0" w:space="0" w:color="auto"/>
        <w:right w:val="none" w:sz="0" w:space="0" w:color="auto"/>
      </w:divBdr>
    </w:div>
    <w:div w:id="180170601">
      <w:marLeft w:val="0"/>
      <w:marRight w:val="0"/>
      <w:marTop w:val="0"/>
      <w:marBottom w:val="0"/>
      <w:divBdr>
        <w:top w:val="none" w:sz="0" w:space="0" w:color="auto"/>
        <w:left w:val="none" w:sz="0" w:space="0" w:color="auto"/>
        <w:bottom w:val="none" w:sz="0" w:space="0" w:color="auto"/>
        <w:right w:val="none" w:sz="0" w:space="0" w:color="auto"/>
      </w:divBdr>
    </w:div>
    <w:div w:id="189421735">
      <w:marLeft w:val="0"/>
      <w:marRight w:val="0"/>
      <w:marTop w:val="0"/>
      <w:marBottom w:val="0"/>
      <w:divBdr>
        <w:top w:val="none" w:sz="0" w:space="0" w:color="auto"/>
        <w:left w:val="none" w:sz="0" w:space="0" w:color="auto"/>
        <w:bottom w:val="none" w:sz="0" w:space="0" w:color="auto"/>
        <w:right w:val="none" w:sz="0" w:space="0" w:color="auto"/>
      </w:divBdr>
    </w:div>
    <w:div w:id="204606360">
      <w:marLeft w:val="0"/>
      <w:marRight w:val="0"/>
      <w:marTop w:val="0"/>
      <w:marBottom w:val="0"/>
      <w:divBdr>
        <w:top w:val="none" w:sz="0" w:space="0" w:color="auto"/>
        <w:left w:val="none" w:sz="0" w:space="0" w:color="auto"/>
        <w:bottom w:val="none" w:sz="0" w:space="0" w:color="auto"/>
        <w:right w:val="none" w:sz="0" w:space="0" w:color="auto"/>
      </w:divBdr>
    </w:div>
    <w:div w:id="217909858">
      <w:marLeft w:val="0"/>
      <w:marRight w:val="0"/>
      <w:marTop w:val="0"/>
      <w:marBottom w:val="0"/>
      <w:divBdr>
        <w:top w:val="none" w:sz="0" w:space="0" w:color="auto"/>
        <w:left w:val="none" w:sz="0" w:space="0" w:color="auto"/>
        <w:bottom w:val="none" w:sz="0" w:space="0" w:color="auto"/>
        <w:right w:val="none" w:sz="0" w:space="0" w:color="auto"/>
      </w:divBdr>
    </w:div>
    <w:div w:id="236091666">
      <w:marLeft w:val="0"/>
      <w:marRight w:val="0"/>
      <w:marTop w:val="0"/>
      <w:marBottom w:val="0"/>
      <w:divBdr>
        <w:top w:val="none" w:sz="0" w:space="0" w:color="auto"/>
        <w:left w:val="none" w:sz="0" w:space="0" w:color="auto"/>
        <w:bottom w:val="none" w:sz="0" w:space="0" w:color="auto"/>
        <w:right w:val="none" w:sz="0" w:space="0" w:color="auto"/>
      </w:divBdr>
    </w:div>
    <w:div w:id="239796271">
      <w:marLeft w:val="0"/>
      <w:marRight w:val="0"/>
      <w:marTop w:val="0"/>
      <w:marBottom w:val="0"/>
      <w:divBdr>
        <w:top w:val="none" w:sz="0" w:space="0" w:color="auto"/>
        <w:left w:val="none" w:sz="0" w:space="0" w:color="auto"/>
        <w:bottom w:val="none" w:sz="0" w:space="0" w:color="auto"/>
        <w:right w:val="none" w:sz="0" w:space="0" w:color="auto"/>
      </w:divBdr>
    </w:div>
    <w:div w:id="254093636">
      <w:marLeft w:val="0"/>
      <w:marRight w:val="0"/>
      <w:marTop w:val="0"/>
      <w:marBottom w:val="0"/>
      <w:divBdr>
        <w:top w:val="none" w:sz="0" w:space="0" w:color="auto"/>
        <w:left w:val="none" w:sz="0" w:space="0" w:color="auto"/>
        <w:bottom w:val="none" w:sz="0" w:space="0" w:color="auto"/>
        <w:right w:val="none" w:sz="0" w:space="0" w:color="auto"/>
      </w:divBdr>
    </w:div>
    <w:div w:id="264188743">
      <w:marLeft w:val="0"/>
      <w:marRight w:val="0"/>
      <w:marTop w:val="0"/>
      <w:marBottom w:val="0"/>
      <w:divBdr>
        <w:top w:val="none" w:sz="0" w:space="0" w:color="auto"/>
        <w:left w:val="none" w:sz="0" w:space="0" w:color="auto"/>
        <w:bottom w:val="none" w:sz="0" w:space="0" w:color="auto"/>
        <w:right w:val="none" w:sz="0" w:space="0" w:color="auto"/>
      </w:divBdr>
    </w:div>
    <w:div w:id="274139443">
      <w:marLeft w:val="0"/>
      <w:marRight w:val="0"/>
      <w:marTop w:val="0"/>
      <w:marBottom w:val="0"/>
      <w:divBdr>
        <w:top w:val="none" w:sz="0" w:space="0" w:color="auto"/>
        <w:left w:val="none" w:sz="0" w:space="0" w:color="auto"/>
        <w:bottom w:val="none" w:sz="0" w:space="0" w:color="auto"/>
        <w:right w:val="none" w:sz="0" w:space="0" w:color="auto"/>
      </w:divBdr>
    </w:div>
    <w:div w:id="287014174">
      <w:marLeft w:val="0"/>
      <w:marRight w:val="0"/>
      <w:marTop w:val="0"/>
      <w:marBottom w:val="0"/>
      <w:divBdr>
        <w:top w:val="none" w:sz="0" w:space="0" w:color="auto"/>
        <w:left w:val="none" w:sz="0" w:space="0" w:color="auto"/>
        <w:bottom w:val="none" w:sz="0" w:space="0" w:color="auto"/>
        <w:right w:val="none" w:sz="0" w:space="0" w:color="auto"/>
      </w:divBdr>
    </w:div>
    <w:div w:id="293020686">
      <w:marLeft w:val="0"/>
      <w:marRight w:val="0"/>
      <w:marTop w:val="0"/>
      <w:marBottom w:val="0"/>
      <w:divBdr>
        <w:top w:val="none" w:sz="0" w:space="0" w:color="auto"/>
        <w:left w:val="none" w:sz="0" w:space="0" w:color="auto"/>
        <w:bottom w:val="none" w:sz="0" w:space="0" w:color="auto"/>
        <w:right w:val="none" w:sz="0" w:space="0" w:color="auto"/>
      </w:divBdr>
    </w:div>
    <w:div w:id="297959113">
      <w:marLeft w:val="0"/>
      <w:marRight w:val="0"/>
      <w:marTop w:val="0"/>
      <w:marBottom w:val="0"/>
      <w:divBdr>
        <w:top w:val="none" w:sz="0" w:space="0" w:color="auto"/>
        <w:left w:val="none" w:sz="0" w:space="0" w:color="auto"/>
        <w:bottom w:val="none" w:sz="0" w:space="0" w:color="auto"/>
        <w:right w:val="none" w:sz="0" w:space="0" w:color="auto"/>
      </w:divBdr>
    </w:div>
    <w:div w:id="301154730">
      <w:marLeft w:val="0"/>
      <w:marRight w:val="0"/>
      <w:marTop w:val="0"/>
      <w:marBottom w:val="0"/>
      <w:divBdr>
        <w:top w:val="none" w:sz="0" w:space="0" w:color="auto"/>
        <w:left w:val="none" w:sz="0" w:space="0" w:color="auto"/>
        <w:bottom w:val="none" w:sz="0" w:space="0" w:color="auto"/>
        <w:right w:val="none" w:sz="0" w:space="0" w:color="auto"/>
      </w:divBdr>
    </w:div>
    <w:div w:id="306595031">
      <w:marLeft w:val="0"/>
      <w:marRight w:val="0"/>
      <w:marTop w:val="0"/>
      <w:marBottom w:val="0"/>
      <w:divBdr>
        <w:top w:val="none" w:sz="0" w:space="0" w:color="auto"/>
        <w:left w:val="none" w:sz="0" w:space="0" w:color="auto"/>
        <w:bottom w:val="none" w:sz="0" w:space="0" w:color="auto"/>
        <w:right w:val="none" w:sz="0" w:space="0" w:color="auto"/>
      </w:divBdr>
    </w:div>
    <w:div w:id="310061888">
      <w:marLeft w:val="0"/>
      <w:marRight w:val="0"/>
      <w:marTop w:val="0"/>
      <w:marBottom w:val="0"/>
      <w:divBdr>
        <w:top w:val="none" w:sz="0" w:space="0" w:color="auto"/>
        <w:left w:val="none" w:sz="0" w:space="0" w:color="auto"/>
        <w:bottom w:val="none" w:sz="0" w:space="0" w:color="auto"/>
        <w:right w:val="none" w:sz="0" w:space="0" w:color="auto"/>
      </w:divBdr>
    </w:div>
    <w:div w:id="322394482">
      <w:marLeft w:val="0"/>
      <w:marRight w:val="0"/>
      <w:marTop w:val="0"/>
      <w:marBottom w:val="0"/>
      <w:divBdr>
        <w:top w:val="none" w:sz="0" w:space="0" w:color="auto"/>
        <w:left w:val="none" w:sz="0" w:space="0" w:color="auto"/>
        <w:bottom w:val="none" w:sz="0" w:space="0" w:color="auto"/>
        <w:right w:val="none" w:sz="0" w:space="0" w:color="auto"/>
      </w:divBdr>
    </w:div>
    <w:div w:id="352070926">
      <w:marLeft w:val="0"/>
      <w:marRight w:val="0"/>
      <w:marTop w:val="0"/>
      <w:marBottom w:val="0"/>
      <w:divBdr>
        <w:top w:val="none" w:sz="0" w:space="0" w:color="auto"/>
        <w:left w:val="none" w:sz="0" w:space="0" w:color="auto"/>
        <w:bottom w:val="none" w:sz="0" w:space="0" w:color="auto"/>
        <w:right w:val="none" w:sz="0" w:space="0" w:color="auto"/>
      </w:divBdr>
    </w:div>
    <w:div w:id="355893083">
      <w:marLeft w:val="0"/>
      <w:marRight w:val="0"/>
      <w:marTop w:val="0"/>
      <w:marBottom w:val="0"/>
      <w:divBdr>
        <w:top w:val="none" w:sz="0" w:space="0" w:color="auto"/>
        <w:left w:val="none" w:sz="0" w:space="0" w:color="auto"/>
        <w:bottom w:val="none" w:sz="0" w:space="0" w:color="auto"/>
        <w:right w:val="none" w:sz="0" w:space="0" w:color="auto"/>
      </w:divBdr>
    </w:div>
    <w:div w:id="359743257">
      <w:marLeft w:val="0"/>
      <w:marRight w:val="0"/>
      <w:marTop w:val="0"/>
      <w:marBottom w:val="0"/>
      <w:divBdr>
        <w:top w:val="none" w:sz="0" w:space="0" w:color="auto"/>
        <w:left w:val="none" w:sz="0" w:space="0" w:color="auto"/>
        <w:bottom w:val="none" w:sz="0" w:space="0" w:color="auto"/>
        <w:right w:val="none" w:sz="0" w:space="0" w:color="auto"/>
      </w:divBdr>
    </w:div>
    <w:div w:id="366371876">
      <w:marLeft w:val="0"/>
      <w:marRight w:val="0"/>
      <w:marTop w:val="0"/>
      <w:marBottom w:val="0"/>
      <w:divBdr>
        <w:top w:val="none" w:sz="0" w:space="0" w:color="auto"/>
        <w:left w:val="none" w:sz="0" w:space="0" w:color="auto"/>
        <w:bottom w:val="none" w:sz="0" w:space="0" w:color="auto"/>
        <w:right w:val="none" w:sz="0" w:space="0" w:color="auto"/>
      </w:divBdr>
    </w:div>
    <w:div w:id="368187830">
      <w:marLeft w:val="0"/>
      <w:marRight w:val="0"/>
      <w:marTop w:val="0"/>
      <w:marBottom w:val="0"/>
      <w:divBdr>
        <w:top w:val="none" w:sz="0" w:space="0" w:color="auto"/>
        <w:left w:val="none" w:sz="0" w:space="0" w:color="auto"/>
        <w:bottom w:val="none" w:sz="0" w:space="0" w:color="auto"/>
        <w:right w:val="none" w:sz="0" w:space="0" w:color="auto"/>
      </w:divBdr>
    </w:div>
    <w:div w:id="377782072">
      <w:marLeft w:val="0"/>
      <w:marRight w:val="0"/>
      <w:marTop w:val="0"/>
      <w:marBottom w:val="0"/>
      <w:divBdr>
        <w:top w:val="none" w:sz="0" w:space="0" w:color="auto"/>
        <w:left w:val="none" w:sz="0" w:space="0" w:color="auto"/>
        <w:bottom w:val="none" w:sz="0" w:space="0" w:color="auto"/>
        <w:right w:val="none" w:sz="0" w:space="0" w:color="auto"/>
      </w:divBdr>
    </w:div>
    <w:div w:id="381711252">
      <w:marLeft w:val="0"/>
      <w:marRight w:val="0"/>
      <w:marTop w:val="0"/>
      <w:marBottom w:val="0"/>
      <w:divBdr>
        <w:top w:val="none" w:sz="0" w:space="0" w:color="auto"/>
        <w:left w:val="none" w:sz="0" w:space="0" w:color="auto"/>
        <w:bottom w:val="none" w:sz="0" w:space="0" w:color="auto"/>
        <w:right w:val="none" w:sz="0" w:space="0" w:color="auto"/>
      </w:divBdr>
    </w:div>
    <w:div w:id="382485282">
      <w:marLeft w:val="0"/>
      <w:marRight w:val="0"/>
      <w:marTop w:val="0"/>
      <w:marBottom w:val="0"/>
      <w:divBdr>
        <w:top w:val="none" w:sz="0" w:space="0" w:color="auto"/>
        <w:left w:val="none" w:sz="0" w:space="0" w:color="auto"/>
        <w:bottom w:val="none" w:sz="0" w:space="0" w:color="auto"/>
        <w:right w:val="none" w:sz="0" w:space="0" w:color="auto"/>
      </w:divBdr>
    </w:div>
    <w:div w:id="386337416">
      <w:marLeft w:val="0"/>
      <w:marRight w:val="0"/>
      <w:marTop w:val="0"/>
      <w:marBottom w:val="0"/>
      <w:divBdr>
        <w:top w:val="none" w:sz="0" w:space="0" w:color="auto"/>
        <w:left w:val="none" w:sz="0" w:space="0" w:color="auto"/>
        <w:bottom w:val="none" w:sz="0" w:space="0" w:color="auto"/>
        <w:right w:val="none" w:sz="0" w:space="0" w:color="auto"/>
      </w:divBdr>
    </w:div>
    <w:div w:id="393091682">
      <w:marLeft w:val="0"/>
      <w:marRight w:val="0"/>
      <w:marTop w:val="0"/>
      <w:marBottom w:val="0"/>
      <w:divBdr>
        <w:top w:val="none" w:sz="0" w:space="0" w:color="auto"/>
        <w:left w:val="none" w:sz="0" w:space="0" w:color="auto"/>
        <w:bottom w:val="none" w:sz="0" w:space="0" w:color="auto"/>
        <w:right w:val="none" w:sz="0" w:space="0" w:color="auto"/>
      </w:divBdr>
    </w:div>
    <w:div w:id="406224473">
      <w:marLeft w:val="0"/>
      <w:marRight w:val="0"/>
      <w:marTop w:val="0"/>
      <w:marBottom w:val="0"/>
      <w:divBdr>
        <w:top w:val="none" w:sz="0" w:space="0" w:color="auto"/>
        <w:left w:val="none" w:sz="0" w:space="0" w:color="auto"/>
        <w:bottom w:val="none" w:sz="0" w:space="0" w:color="auto"/>
        <w:right w:val="none" w:sz="0" w:space="0" w:color="auto"/>
      </w:divBdr>
    </w:div>
    <w:div w:id="406926228">
      <w:marLeft w:val="0"/>
      <w:marRight w:val="0"/>
      <w:marTop w:val="0"/>
      <w:marBottom w:val="0"/>
      <w:divBdr>
        <w:top w:val="none" w:sz="0" w:space="0" w:color="auto"/>
        <w:left w:val="none" w:sz="0" w:space="0" w:color="auto"/>
        <w:bottom w:val="none" w:sz="0" w:space="0" w:color="auto"/>
        <w:right w:val="none" w:sz="0" w:space="0" w:color="auto"/>
      </w:divBdr>
    </w:div>
    <w:div w:id="415831984">
      <w:marLeft w:val="0"/>
      <w:marRight w:val="0"/>
      <w:marTop w:val="0"/>
      <w:marBottom w:val="0"/>
      <w:divBdr>
        <w:top w:val="none" w:sz="0" w:space="0" w:color="auto"/>
        <w:left w:val="none" w:sz="0" w:space="0" w:color="auto"/>
        <w:bottom w:val="none" w:sz="0" w:space="0" w:color="auto"/>
        <w:right w:val="none" w:sz="0" w:space="0" w:color="auto"/>
      </w:divBdr>
    </w:div>
    <w:div w:id="424304248">
      <w:marLeft w:val="0"/>
      <w:marRight w:val="0"/>
      <w:marTop w:val="0"/>
      <w:marBottom w:val="0"/>
      <w:divBdr>
        <w:top w:val="none" w:sz="0" w:space="0" w:color="auto"/>
        <w:left w:val="none" w:sz="0" w:space="0" w:color="auto"/>
        <w:bottom w:val="none" w:sz="0" w:space="0" w:color="auto"/>
        <w:right w:val="none" w:sz="0" w:space="0" w:color="auto"/>
      </w:divBdr>
    </w:div>
    <w:div w:id="432433148">
      <w:marLeft w:val="0"/>
      <w:marRight w:val="0"/>
      <w:marTop w:val="0"/>
      <w:marBottom w:val="0"/>
      <w:divBdr>
        <w:top w:val="none" w:sz="0" w:space="0" w:color="auto"/>
        <w:left w:val="none" w:sz="0" w:space="0" w:color="auto"/>
        <w:bottom w:val="none" w:sz="0" w:space="0" w:color="auto"/>
        <w:right w:val="none" w:sz="0" w:space="0" w:color="auto"/>
      </w:divBdr>
    </w:div>
    <w:div w:id="435756457">
      <w:marLeft w:val="0"/>
      <w:marRight w:val="0"/>
      <w:marTop w:val="0"/>
      <w:marBottom w:val="0"/>
      <w:divBdr>
        <w:top w:val="none" w:sz="0" w:space="0" w:color="auto"/>
        <w:left w:val="none" w:sz="0" w:space="0" w:color="auto"/>
        <w:bottom w:val="none" w:sz="0" w:space="0" w:color="auto"/>
        <w:right w:val="none" w:sz="0" w:space="0" w:color="auto"/>
      </w:divBdr>
    </w:div>
    <w:div w:id="437877141">
      <w:marLeft w:val="0"/>
      <w:marRight w:val="0"/>
      <w:marTop w:val="0"/>
      <w:marBottom w:val="0"/>
      <w:divBdr>
        <w:top w:val="none" w:sz="0" w:space="0" w:color="auto"/>
        <w:left w:val="none" w:sz="0" w:space="0" w:color="auto"/>
        <w:bottom w:val="none" w:sz="0" w:space="0" w:color="auto"/>
        <w:right w:val="none" w:sz="0" w:space="0" w:color="auto"/>
      </w:divBdr>
    </w:div>
    <w:div w:id="438185135">
      <w:marLeft w:val="0"/>
      <w:marRight w:val="0"/>
      <w:marTop w:val="0"/>
      <w:marBottom w:val="0"/>
      <w:divBdr>
        <w:top w:val="none" w:sz="0" w:space="0" w:color="auto"/>
        <w:left w:val="none" w:sz="0" w:space="0" w:color="auto"/>
        <w:bottom w:val="none" w:sz="0" w:space="0" w:color="auto"/>
        <w:right w:val="none" w:sz="0" w:space="0" w:color="auto"/>
      </w:divBdr>
    </w:div>
    <w:div w:id="442312628">
      <w:marLeft w:val="0"/>
      <w:marRight w:val="0"/>
      <w:marTop w:val="0"/>
      <w:marBottom w:val="0"/>
      <w:divBdr>
        <w:top w:val="none" w:sz="0" w:space="0" w:color="auto"/>
        <w:left w:val="none" w:sz="0" w:space="0" w:color="auto"/>
        <w:bottom w:val="none" w:sz="0" w:space="0" w:color="auto"/>
        <w:right w:val="none" w:sz="0" w:space="0" w:color="auto"/>
      </w:divBdr>
    </w:div>
    <w:div w:id="447891666">
      <w:marLeft w:val="0"/>
      <w:marRight w:val="0"/>
      <w:marTop w:val="0"/>
      <w:marBottom w:val="0"/>
      <w:divBdr>
        <w:top w:val="none" w:sz="0" w:space="0" w:color="auto"/>
        <w:left w:val="none" w:sz="0" w:space="0" w:color="auto"/>
        <w:bottom w:val="none" w:sz="0" w:space="0" w:color="auto"/>
        <w:right w:val="none" w:sz="0" w:space="0" w:color="auto"/>
      </w:divBdr>
    </w:div>
    <w:div w:id="451706249">
      <w:marLeft w:val="0"/>
      <w:marRight w:val="0"/>
      <w:marTop w:val="0"/>
      <w:marBottom w:val="0"/>
      <w:divBdr>
        <w:top w:val="none" w:sz="0" w:space="0" w:color="auto"/>
        <w:left w:val="none" w:sz="0" w:space="0" w:color="auto"/>
        <w:bottom w:val="none" w:sz="0" w:space="0" w:color="auto"/>
        <w:right w:val="none" w:sz="0" w:space="0" w:color="auto"/>
      </w:divBdr>
    </w:div>
    <w:div w:id="485365858">
      <w:marLeft w:val="0"/>
      <w:marRight w:val="0"/>
      <w:marTop w:val="0"/>
      <w:marBottom w:val="0"/>
      <w:divBdr>
        <w:top w:val="none" w:sz="0" w:space="0" w:color="auto"/>
        <w:left w:val="none" w:sz="0" w:space="0" w:color="auto"/>
        <w:bottom w:val="none" w:sz="0" w:space="0" w:color="auto"/>
        <w:right w:val="none" w:sz="0" w:space="0" w:color="auto"/>
      </w:divBdr>
    </w:div>
    <w:div w:id="492067654">
      <w:marLeft w:val="0"/>
      <w:marRight w:val="0"/>
      <w:marTop w:val="0"/>
      <w:marBottom w:val="0"/>
      <w:divBdr>
        <w:top w:val="none" w:sz="0" w:space="0" w:color="auto"/>
        <w:left w:val="none" w:sz="0" w:space="0" w:color="auto"/>
        <w:bottom w:val="none" w:sz="0" w:space="0" w:color="auto"/>
        <w:right w:val="none" w:sz="0" w:space="0" w:color="auto"/>
      </w:divBdr>
    </w:div>
    <w:div w:id="497964227">
      <w:marLeft w:val="0"/>
      <w:marRight w:val="0"/>
      <w:marTop w:val="0"/>
      <w:marBottom w:val="0"/>
      <w:divBdr>
        <w:top w:val="none" w:sz="0" w:space="0" w:color="auto"/>
        <w:left w:val="none" w:sz="0" w:space="0" w:color="auto"/>
        <w:bottom w:val="none" w:sz="0" w:space="0" w:color="auto"/>
        <w:right w:val="none" w:sz="0" w:space="0" w:color="auto"/>
      </w:divBdr>
    </w:div>
    <w:div w:id="498085239">
      <w:marLeft w:val="0"/>
      <w:marRight w:val="0"/>
      <w:marTop w:val="0"/>
      <w:marBottom w:val="0"/>
      <w:divBdr>
        <w:top w:val="none" w:sz="0" w:space="0" w:color="auto"/>
        <w:left w:val="none" w:sz="0" w:space="0" w:color="auto"/>
        <w:bottom w:val="none" w:sz="0" w:space="0" w:color="auto"/>
        <w:right w:val="none" w:sz="0" w:space="0" w:color="auto"/>
      </w:divBdr>
    </w:div>
    <w:div w:id="504319560">
      <w:marLeft w:val="0"/>
      <w:marRight w:val="0"/>
      <w:marTop w:val="0"/>
      <w:marBottom w:val="0"/>
      <w:divBdr>
        <w:top w:val="none" w:sz="0" w:space="0" w:color="auto"/>
        <w:left w:val="none" w:sz="0" w:space="0" w:color="auto"/>
        <w:bottom w:val="none" w:sz="0" w:space="0" w:color="auto"/>
        <w:right w:val="none" w:sz="0" w:space="0" w:color="auto"/>
      </w:divBdr>
    </w:div>
    <w:div w:id="543369819">
      <w:marLeft w:val="0"/>
      <w:marRight w:val="0"/>
      <w:marTop w:val="0"/>
      <w:marBottom w:val="0"/>
      <w:divBdr>
        <w:top w:val="none" w:sz="0" w:space="0" w:color="auto"/>
        <w:left w:val="none" w:sz="0" w:space="0" w:color="auto"/>
        <w:bottom w:val="none" w:sz="0" w:space="0" w:color="auto"/>
        <w:right w:val="none" w:sz="0" w:space="0" w:color="auto"/>
      </w:divBdr>
    </w:div>
    <w:div w:id="543833239">
      <w:marLeft w:val="0"/>
      <w:marRight w:val="0"/>
      <w:marTop w:val="0"/>
      <w:marBottom w:val="0"/>
      <w:divBdr>
        <w:top w:val="none" w:sz="0" w:space="0" w:color="auto"/>
        <w:left w:val="none" w:sz="0" w:space="0" w:color="auto"/>
        <w:bottom w:val="none" w:sz="0" w:space="0" w:color="auto"/>
        <w:right w:val="none" w:sz="0" w:space="0" w:color="auto"/>
      </w:divBdr>
    </w:div>
    <w:div w:id="545609556">
      <w:marLeft w:val="0"/>
      <w:marRight w:val="0"/>
      <w:marTop w:val="0"/>
      <w:marBottom w:val="0"/>
      <w:divBdr>
        <w:top w:val="none" w:sz="0" w:space="0" w:color="auto"/>
        <w:left w:val="none" w:sz="0" w:space="0" w:color="auto"/>
        <w:bottom w:val="none" w:sz="0" w:space="0" w:color="auto"/>
        <w:right w:val="none" w:sz="0" w:space="0" w:color="auto"/>
      </w:divBdr>
    </w:div>
    <w:div w:id="547448262">
      <w:marLeft w:val="0"/>
      <w:marRight w:val="0"/>
      <w:marTop w:val="0"/>
      <w:marBottom w:val="0"/>
      <w:divBdr>
        <w:top w:val="none" w:sz="0" w:space="0" w:color="auto"/>
        <w:left w:val="none" w:sz="0" w:space="0" w:color="auto"/>
        <w:bottom w:val="none" w:sz="0" w:space="0" w:color="auto"/>
        <w:right w:val="none" w:sz="0" w:space="0" w:color="auto"/>
      </w:divBdr>
    </w:div>
    <w:div w:id="549223570">
      <w:marLeft w:val="0"/>
      <w:marRight w:val="0"/>
      <w:marTop w:val="0"/>
      <w:marBottom w:val="0"/>
      <w:divBdr>
        <w:top w:val="none" w:sz="0" w:space="0" w:color="auto"/>
        <w:left w:val="none" w:sz="0" w:space="0" w:color="auto"/>
        <w:bottom w:val="none" w:sz="0" w:space="0" w:color="auto"/>
        <w:right w:val="none" w:sz="0" w:space="0" w:color="auto"/>
      </w:divBdr>
    </w:div>
    <w:div w:id="550767086">
      <w:marLeft w:val="0"/>
      <w:marRight w:val="0"/>
      <w:marTop w:val="0"/>
      <w:marBottom w:val="0"/>
      <w:divBdr>
        <w:top w:val="none" w:sz="0" w:space="0" w:color="auto"/>
        <w:left w:val="none" w:sz="0" w:space="0" w:color="auto"/>
        <w:bottom w:val="none" w:sz="0" w:space="0" w:color="auto"/>
        <w:right w:val="none" w:sz="0" w:space="0" w:color="auto"/>
      </w:divBdr>
    </w:div>
    <w:div w:id="559481642">
      <w:marLeft w:val="0"/>
      <w:marRight w:val="0"/>
      <w:marTop w:val="0"/>
      <w:marBottom w:val="0"/>
      <w:divBdr>
        <w:top w:val="none" w:sz="0" w:space="0" w:color="auto"/>
        <w:left w:val="none" w:sz="0" w:space="0" w:color="auto"/>
        <w:bottom w:val="none" w:sz="0" w:space="0" w:color="auto"/>
        <w:right w:val="none" w:sz="0" w:space="0" w:color="auto"/>
      </w:divBdr>
    </w:div>
    <w:div w:id="572660336">
      <w:marLeft w:val="0"/>
      <w:marRight w:val="0"/>
      <w:marTop w:val="0"/>
      <w:marBottom w:val="0"/>
      <w:divBdr>
        <w:top w:val="none" w:sz="0" w:space="0" w:color="auto"/>
        <w:left w:val="none" w:sz="0" w:space="0" w:color="auto"/>
        <w:bottom w:val="none" w:sz="0" w:space="0" w:color="auto"/>
        <w:right w:val="none" w:sz="0" w:space="0" w:color="auto"/>
      </w:divBdr>
    </w:div>
    <w:div w:id="578829215">
      <w:marLeft w:val="0"/>
      <w:marRight w:val="0"/>
      <w:marTop w:val="0"/>
      <w:marBottom w:val="0"/>
      <w:divBdr>
        <w:top w:val="none" w:sz="0" w:space="0" w:color="auto"/>
        <w:left w:val="none" w:sz="0" w:space="0" w:color="auto"/>
        <w:bottom w:val="none" w:sz="0" w:space="0" w:color="auto"/>
        <w:right w:val="none" w:sz="0" w:space="0" w:color="auto"/>
      </w:divBdr>
    </w:div>
    <w:div w:id="592469310">
      <w:marLeft w:val="0"/>
      <w:marRight w:val="0"/>
      <w:marTop w:val="0"/>
      <w:marBottom w:val="0"/>
      <w:divBdr>
        <w:top w:val="none" w:sz="0" w:space="0" w:color="auto"/>
        <w:left w:val="none" w:sz="0" w:space="0" w:color="auto"/>
        <w:bottom w:val="none" w:sz="0" w:space="0" w:color="auto"/>
        <w:right w:val="none" w:sz="0" w:space="0" w:color="auto"/>
      </w:divBdr>
    </w:div>
    <w:div w:id="595940025">
      <w:marLeft w:val="0"/>
      <w:marRight w:val="0"/>
      <w:marTop w:val="0"/>
      <w:marBottom w:val="0"/>
      <w:divBdr>
        <w:top w:val="none" w:sz="0" w:space="0" w:color="auto"/>
        <w:left w:val="none" w:sz="0" w:space="0" w:color="auto"/>
        <w:bottom w:val="none" w:sz="0" w:space="0" w:color="auto"/>
        <w:right w:val="none" w:sz="0" w:space="0" w:color="auto"/>
      </w:divBdr>
    </w:div>
    <w:div w:id="596793942">
      <w:marLeft w:val="0"/>
      <w:marRight w:val="0"/>
      <w:marTop w:val="0"/>
      <w:marBottom w:val="0"/>
      <w:divBdr>
        <w:top w:val="none" w:sz="0" w:space="0" w:color="auto"/>
        <w:left w:val="none" w:sz="0" w:space="0" w:color="auto"/>
        <w:bottom w:val="none" w:sz="0" w:space="0" w:color="auto"/>
        <w:right w:val="none" w:sz="0" w:space="0" w:color="auto"/>
      </w:divBdr>
    </w:div>
    <w:div w:id="611518681">
      <w:marLeft w:val="0"/>
      <w:marRight w:val="0"/>
      <w:marTop w:val="0"/>
      <w:marBottom w:val="0"/>
      <w:divBdr>
        <w:top w:val="none" w:sz="0" w:space="0" w:color="auto"/>
        <w:left w:val="none" w:sz="0" w:space="0" w:color="auto"/>
        <w:bottom w:val="none" w:sz="0" w:space="0" w:color="auto"/>
        <w:right w:val="none" w:sz="0" w:space="0" w:color="auto"/>
      </w:divBdr>
    </w:div>
    <w:div w:id="629283789">
      <w:marLeft w:val="0"/>
      <w:marRight w:val="0"/>
      <w:marTop w:val="0"/>
      <w:marBottom w:val="0"/>
      <w:divBdr>
        <w:top w:val="none" w:sz="0" w:space="0" w:color="auto"/>
        <w:left w:val="none" w:sz="0" w:space="0" w:color="auto"/>
        <w:bottom w:val="none" w:sz="0" w:space="0" w:color="auto"/>
        <w:right w:val="none" w:sz="0" w:space="0" w:color="auto"/>
      </w:divBdr>
    </w:div>
    <w:div w:id="629702201">
      <w:marLeft w:val="0"/>
      <w:marRight w:val="0"/>
      <w:marTop w:val="0"/>
      <w:marBottom w:val="0"/>
      <w:divBdr>
        <w:top w:val="none" w:sz="0" w:space="0" w:color="auto"/>
        <w:left w:val="none" w:sz="0" w:space="0" w:color="auto"/>
        <w:bottom w:val="none" w:sz="0" w:space="0" w:color="auto"/>
        <w:right w:val="none" w:sz="0" w:space="0" w:color="auto"/>
      </w:divBdr>
    </w:div>
    <w:div w:id="634718403">
      <w:marLeft w:val="0"/>
      <w:marRight w:val="0"/>
      <w:marTop w:val="0"/>
      <w:marBottom w:val="0"/>
      <w:divBdr>
        <w:top w:val="none" w:sz="0" w:space="0" w:color="auto"/>
        <w:left w:val="none" w:sz="0" w:space="0" w:color="auto"/>
        <w:bottom w:val="none" w:sz="0" w:space="0" w:color="auto"/>
        <w:right w:val="none" w:sz="0" w:space="0" w:color="auto"/>
      </w:divBdr>
    </w:div>
    <w:div w:id="636842404">
      <w:marLeft w:val="0"/>
      <w:marRight w:val="0"/>
      <w:marTop w:val="0"/>
      <w:marBottom w:val="0"/>
      <w:divBdr>
        <w:top w:val="none" w:sz="0" w:space="0" w:color="auto"/>
        <w:left w:val="none" w:sz="0" w:space="0" w:color="auto"/>
        <w:bottom w:val="none" w:sz="0" w:space="0" w:color="auto"/>
        <w:right w:val="none" w:sz="0" w:space="0" w:color="auto"/>
      </w:divBdr>
    </w:div>
    <w:div w:id="642739632">
      <w:marLeft w:val="0"/>
      <w:marRight w:val="0"/>
      <w:marTop w:val="0"/>
      <w:marBottom w:val="0"/>
      <w:divBdr>
        <w:top w:val="none" w:sz="0" w:space="0" w:color="auto"/>
        <w:left w:val="none" w:sz="0" w:space="0" w:color="auto"/>
        <w:bottom w:val="none" w:sz="0" w:space="0" w:color="auto"/>
        <w:right w:val="none" w:sz="0" w:space="0" w:color="auto"/>
      </w:divBdr>
    </w:div>
    <w:div w:id="649556674">
      <w:marLeft w:val="0"/>
      <w:marRight w:val="0"/>
      <w:marTop w:val="0"/>
      <w:marBottom w:val="0"/>
      <w:divBdr>
        <w:top w:val="none" w:sz="0" w:space="0" w:color="auto"/>
        <w:left w:val="none" w:sz="0" w:space="0" w:color="auto"/>
        <w:bottom w:val="none" w:sz="0" w:space="0" w:color="auto"/>
        <w:right w:val="none" w:sz="0" w:space="0" w:color="auto"/>
      </w:divBdr>
    </w:div>
    <w:div w:id="654800711">
      <w:marLeft w:val="0"/>
      <w:marRight w:val="0"/>
      <w:marTop w:val="0"/>
      <w:marBottom w:val="0"/>
      <w:divBdr>
        <w:top w:val="none" w:sz="0" w:space="0" w:color="auto"/>
        <w:left w:val="none" w:sz="0" w:space="0" w:color="auto"/>
        <w:bottom w:val="none" w:sz="0" w:space="0" w:color="auto"/>
        <w:right w:val="none" w:sz="0" w:space="0" w:color="auto"/>
      </w:divBdr>
    </w:div>
    <w:div w:id="658852421">
      <w:marLeft w:val="0"/>
      <w:marRight w:val="0"/>
      <w:marTop w:val="0"/>
      <w:marBottom w:val="0"/>
      <w:divBdr>
        <w:top w:val="none" w:sz="0" w:space="0" w:color="auto"/>
        <w:left w:val="none" w:sz="0" w:space="0" w:color="auto"/>
        <w:bottom w:val="none" w:sz="0" w:space="0" w:color="auto"/>
        <w:right w:val="none" w:sz="0" w:space="0" w:color="auto"/>
      </w:divBdr>
    </w:div>
    <w:div w:id="660550730">
      <w:marLeft w:val="0"/>
      <w:marRight w:val="0"/>
      <w:marTop w:val="0"/>
      <w:marBottom w:val="0"/>
      <w:divBdr>
        <w:top w:val="none" w:sz="0" w:space="0" w:color="auto"/>
        <w:left w:val="none" w:sz="0" w:space="0" w:color="auto"/>
        <w:bottom w:val="none" w:sz="0" w:space="0" w:color="auto"/>
        <w:right w:val="none" w:sz="0" w:space="0" w:color="auto"/>
      </w:divBdr>
    </w:div>
    <w:div w:id="689721467">
      <w:marLeft w:val="0"/>
      <w:marRight w:val="0"/>
      <w:marTop w:val="0"/>
      <w:marBottom w:val="0"/>
      <w:divBdr>
        <w:top w:val="none" w:sz="0" w:space="0" w:color="auto"/>
        <w:left w:val="none" w:sz="0" w:space="0" w:color="auto"/>
        <w:bottom w:val="none" w:sz="0" w:space="0" w:color="auto"/>
        <w:right w:val="none" w:sz="0" w:space="0" w:color="auto"/>
      </w:divBdr>
    </w:div>
    <w:div w:id="693724284">
      <w:marLeft w:val="0"/>
      <w:marRight w:val="0"/>
      <w:marTop w:val="0"/>
      <w:marBottom w:val="0"/>
      <w:divBdr>
        <w:top w:val="none" w:sz="0" w:space="0" w:color="auto"/>
        <w:left w:val="none" w:sz="0" w:space="0" w:color="auto"/>
        <w:bottom w:val="none" w:sz="0" w:space="0" w:color="auto"/>
        <w:right w:val="none" w:sz="0" w:space="0" w:color="auto"/>
      </w:divBdr>
    </w:div>
    <w:div w:id="704020093">
      <w:marLeft w:val="0"/>
      <w:marRight w:val="0"/>
      <w:marTop w:val="0"/>
      <w:marBottom w:val="0"/>
      <w:divBdr>
        <w:top w:val="none" w:sz="0" w:space="0" w:color="auto"/>
        <w:left w:val="none" w:sz="0" w:space="0" w:color="auto"/>
        <w:bottom w:val="none" w:sz="0" w:space="0" w:color="auto"/>
        <w:right w:val="none" w:sz="0" w:space="0" w:color="auto"/>
      </w:divBdr>
    </w:div>
    <w:div w:id="723873079">
      <w:marLeft w:val="0"/>
      <w:marRight w:val="0"/>
      <w:marTop w:val="0"/>
      <w:marBottom w:val="0"/>
      <w:divBdr>
        <w:top w:val="none" w:sz="0" w:space="0" w:color="auto"/>
        <w:left w:val="none" w:sz="0" w:space="0" w:color="auto"/>
        <w:bottom w:val="none" w:sz="0" w:space="0" w:color="auto"/>
        <w:right w:val="none" w:sz="0" w:space="0" w:color="auto"/>
      </w:divBdr>
    </w:div>
    <w:div w:id="734552608">
      <w:marLeft w:val="0"/>
      <w:marRight w:val="0"/>
      <w:marTop w:val="0"/>
      <w:marBottom w:val="0"/>
      <w:divBdr>
        <w:top w:val="none" w:sz="0" w:space="0" w:color="auto"/>
        <w:left w:val="none" w:sz="0" w:space="0" w:color="auto"/>
        <w:bottom w:val="none" w:sz="0" w:space="0" w:color="auto"/>
        <w:right w:val="none" w:sz="0" w:space="0" w:color="auto"/>
      </w:divBdr>
    </w:div>
    <w:div w:id="751900704">
      <w:marLeft w:val="0"/>
      <w:marRight w:val="0"/>
      <w:marTop w:val="0"/>
      <w:marBottom w:val="0"/>
      <w:divBdr>
        <w:top w:val="none" w:sz="0" w:space="0" w:color="auto"/>
        <w:left w:val="none" w:sz="0" w:space="0" w:color="auto"/>
        <w:bottom w:val="none" w:sz="0" w:space="0" w:color="auto"/>
        <w:right w:val="none" w:sz="0" w:space="0" w:color="auto"/>
      </w:divBdr>
    </w:div>
    <w:div w:id="754282179">
      <w:marLeft w:val="0"/>
      <w:marRight w:val="0"/>
      <w:marTop w:val="0"/>
      <w:marBottom w:val="0"/>
      <w:divBdr>
        <w:top w:val="none" w:sz="0" w:space="0" w:color="auto"/>
        <w:left w:val="none" w:sz="0" w:space="0" w:color="auto"/>
        <w:bottom w:val="none" w:sz="0" w:space="0" w:color="auto"/>
        <w:right w:val="none" w:sz="0" w:space="0" w:color="auto"/>
      </w:divBdr>
    </w:div>
    <w:div w:id="759984019">
      <w:marLeft w:val="0"/>
      <w:marRight w:val="0"/>
      <w:marTop w:val="0"/>
      <w:marBottom w:val="0"/>
      <w:divBdr>
        <w:top w:val="none" w:sz="0" w:space="0" w:color="auto"/>
        <w:left w:val="none" w:sz="0" w:space="0" w:color="auto"/>
        <w:bottom w:val="none" w:sz="0" w:space="0" w:color="auto"/>
        <w:right w:val="none" w:sz="0" w:space="0" w:color="auto"/>
      </w:divBdr>
    </w:div>
    <w:div w:id="783698099">
      <w:marLeft w:val="0"/>
      <w:marRight w:val="0"/>
      <w:marTop w:val="0"/>
      <w:marBottom w:val="0"/>
      <w:divBdr>
        <w:top w:val="none" w:sz="0" w:space="0" w:color="auto"/>
        <w:left w:val="none" w:sz="0" w:space="0" w:color="auto"/>
        <w:bottom w:val="none" w:sz="0" w:space="0" w:color="auto"/>
        <w:right w:val="none" w:sz="0" w:space="0" w:color="auto"/>
      </w:divBdr>
    </w:div>
    <w:div w:id="800340918">
      <w:marLeft w:val="0"/>
      <w:marRight w:val="0"/>
      <w:marTop w:val="0"/>
      <w:marBottom w:val="0"/>
      <w:divBdr>
        <w:top w:val="none" w:sz="0" w:space="0" w:color="auto"/>
        <w:left w:val="none" w:sz="0" w:space="0" w:color="auto"/>
        <w:bottom w:val="none" w:sz="0" w:space="0" w:color="auto"/>
        <w:right w:val="none" w:sz="0" w:space="0" w:color="auto"/>
      </w:divBdr>
    </w:div>
    <w:div w:id="805969625">
      <w:marLeft w:val="0"/>
      <w:marRight w:val="0"/>
      <w:marTop w:val="0"/>
      <w:marBottom w:val="0"/>
      <w:divBdr>
        <w:top w:val="none" w:sz="0" w:space="0" w:color="auto"/>
        <w:left w:val="none" w:sz="0" w:space="0" w:color="auto"/>
        <w:bottom w:val="none" w:sz="0" w:space="0" w:color="auto"/>
        <w:right w:val="none" w:sz="0" w:space="0" w:color="auto"/>
      </w:divBdr>
    </w:div>
    <w:div w:id="806704269">
      <w:marLeft w:val="0"/>
      <w:marRight w:val="0"/>
      <w:marTop w:val="0"/>
      <w:marBottom w:val="0"/>
      <w:divBdr>
        <w:top w:val="none" w:sz="0" w:space="0" w:color="auto"/>
        <w:left w:val="none" w:sz="0" w:space="0" w:color="auto"/>
        <w:bottom w:val="none" w:sz="0" w:space="0" w:color="auto"/>
        <w:right w:val="none" w:sz="0" w:space="0" w:color="auto"/>
      </w:divBdr>
    </w:div>
    <w:div w:id="827939574">
      <w:marLeft w:val="0"/>
      <w:marRight w:val="0"/>
      <w:marTop w:val="0"/>
      <w:marBottom w:val="0"/>
      <w:divBdr>
        <w:top w:val="none" w:sz="0" w:space="0" w:color="auto"/>
        <w:left w:val="none" w:sz="0" w:space="0" w:color="auto"/>
        <w:bottom w:val="none" w:sz="0" w:space="0" w:color="auto"/>
        <w:right w:val="none" w:sz="0" w:space="0" w:color="auto"/>
      </w:divBdr>
    </w:div>
    <w:div w:id="839539108">
      <w:marLeft w:val="0"/>
      <w:marRight w:val="0"/>
      <w:marTop w:val="0"/>
      <w:marBottom w:val="0"/>
      <w:divBdr>
        <w:top w:val="none" w:sz="0" w:space="0" w:color="auto"/>
        <w:left w:val="none" w:sz="0" w:space="0" w:color="auto"/>
        <w:bottom w:val="none" w:sz="0" w:space="0" w:color="auto"/>
        <w:right w:val="none" w:sz="0" w:space="0" w:color="auto"/>
      </w:divBdr>
    </w:div>
    <w:div w:id="845363484">
      <w:marLeft w:val="0"/>
      <w:marRight w:val="0"/>
      <w:marTop w:val="0"/>
      <w:marBottom w:val="0"/>
      <w:divBdr>
        <w:top w:val="none" w:sz="0" w:space="0" w:color="auto"/>
        <w:left w:val="none" w:sz="0" w:space="0" w:color="auto"/>
        <w:bottom w:val="none" w:sz="0" w:space="0" w:color="auto"/>
        <w:right w:val="none" w:sz="0" w:space="0" w:color="auto"/>
      </w:divBdr>
    </w:div>
    <w:div w:id="859200333">
      <w:marLeft w:val="0"/>
      <w:marRight w:val="0"/>
      <w:marTop w:val="0"/>
      <w:marBottom w:val="0"/>
      <w:divBdr>
        <w:top w:val="none" w:sz="0" w:space="0" w:color="auto"/>
        <w:left w:val="none" w:sz="0" w:space="0" w:color="auto"/>
        <w:bottom w:val="none" w:sz="0" w:space="0" w:color="auto"/>
        <w:right w:val="none" w:sz="0" w:space="0" w:color="auto"/>
      </w:divBdr>
    </w:div>
    <w:div w:id="864752964">
      <w:marLeft w:val="0"/>
      <w:marRight w:val="0"/>
      <w:marTop w:val="0"/>
      <w:marBottom w:val="0"/>
      <w:divBdr>
        <w:top w:val="none" w:sz="0" w:space="0" w:color="auto"/>
        <w:left w:val="none" w:sz="0" w:space="0" w:color="auto"/>
        <w:bottom w:val="none" w:sz="0" w:space="0" w:color="auto"/>
        <w:right w:val="none" w:sz="0" w:space="0" w:color="auto"/>
      </w:divBdr>
    </w:div>
    <w:div w:id="871918852">
      <w:marLeft w:val="0"/>
      <w:marRight w:val="0"/>
      <w:marTop w:val="0"/>
      <w:marBottom w:val="0"/>
      <w:divBdr>
        <w:top w:val="none" w:sz="0" w:space="0" w:color="auto"/>
        <w:left w:val="none" w:sz="0" w:space="0" w:color="auto"/>
        <w:bottom w:val="none" w:sz="0" w:space="0" w:color="auto"/>
        <w:right w:val="none" w:sz="0" w:space="0" w:color="auto"/>
      </w:divBdr>
    </w:div>
    <w:div w:id="876284342">
      <w:marLeft w:val="0"/>
      <w:marRight w:val="0"/>
      <w:marTop w:val="0"/>
      <w:marBottom w:val="0"/>
      <w:divBdr>
        <w:top w:val="none" w:sz="0" w:space="0" w:color="auto"/>
        <w:left w:val="none" w:sz="0" w:space="0" w:color="auto"/>
        <w:bottom w:val="none" w:sz="0" w:space="0" w:color="auto"/>
        <w:right w:val="none" w:sz="0" w:space="0" w:color="auto"/>
      </w:divBdr>
    </w:div>
    <w:div w:id="885335377">
      <w:marLeft w:val="0"/>
      <w:marRight w:val="0"/>
      <w:marTop w:val="0"/>
      <w:marBottom w:val="0"/>
      <w:divBdr>
        <w:top w:val="none" w:sz="0" w:space="0" w:color="auto"/>
        <w:left w:val="none" w:sz="0" w:space="0" w:color="auto"/>
        <w:bottom w:val="none" w:sz="0" w:space="0" w:color="auto"/>
        <w:right w:val="none" w:sz="0" w:space="0" w:color="auto"/>
      </w:divBdr>
    </w:div>
    <w:div w:id="897323209">
      <w:marLeft w:val="0"/>
      <w:marRight w:val="0"/>
      <w:marTop w:val="0"/>
      <w:marBottom w:val="0"/>
      <w:divBdr>
        <w:top w:val="none" w:sz="0" w:space="0" w:color="auto"/>
        <w:left w:val="none" w:sz="0" w:space="0" w:color="auto"/>
        <w:bottom w:val="none" w:sz="0" w:space="0" w:color="auto"/>
        <w:right w:val="none" w:sz="0" w:space="0" w:color="auto"/>
      </w:divBdr>
    </w:div>
    <w:div w:id="929049566">
      <w:marLeft w:val="0"/>
      <w:marRight w:val="0"/>
      <w:marTop w:val="0"/>
      <w:marBottom w:val="0"/>
      <w:divBdr>
        <w:top w:val="none" w:sz="0" w:space="0" w:color="auto"/>
        <w:left w:val="none" w:sz="0" w:space="0" w:color="auto"/>
        <w:bottom w:val="none" w:sz="0" w:space="0" w:color="auto"/>
        <w:right w:val="none" w:sz="0" w:space="0" w:color="auto"/>
      </w:divBdr>
    </w:div>
    <w:div w:id="944266905">
      <w:marLeft w:val="0"/>
      <w:marRight w:val="0"/>
      <w:marTop w:val="0"/>
      <w:marBottom w:val="0"/>
      <w:divBdr>
        <w:top w:val="none" w:sz="0" w:space="0" w:color="auto"/>
        <w:left w:val="none" w:sz="0" w:space="0" w:color="auto"/>
        <w:bottom w:val="none" w:sz="0" w:space="0" w:color="auto"/>
        <w:right w:val="none" w:sz="0" w:space="0" w:color="auto"/>
      </w:divBdr>
    </w:div>
    <w:div w:id="953830593">
      <w:marLeft w:val="0"/>
      <w:marRight w:val="0"/>
      <w:marTop w:val="0"/>
      <w:marBottom w:val="0"/>
      <w:divBdr>
        <w:top w:val="none" w:sz="0" w:space="0" w:color="auto"/>
        <w:left w:val="none" w:sz="0" w:space="0" w:color="auto"/>
        <w:bottom w:val="none" w:sz="0" w:space="0" w:color="auto"/>
        <w:right w:val="none" w:sz="0" w:space="0" w:color="auto"/>
      </w:divBdr>
    </w:div>
    <w:div w:id="959722015">
      <w:marLeft w:val="0"/>
      <w:marRight w:val="0"/>
      <w:marTop w:val="0"/>
      <w:marBottom w:val="0"/>
      <w:divBdr>
        <w:top w:val="none" w:sz="0" w:space="0" w:color="auto"/>
        <w:left w:val="none" w:sz="0" w:space="0" w:color="auto"/>
        <w:bottom w:val="none" w:sz="0" w:space="0" w:color="auto"/>
        <w:right w:val="none" w:sz="0" w:space="0" w:color="auto"/>
      </w:divBdr>
    </w:div>
    <w:div w:id="962418945">
      <w:marLeft w:val="0"/>
      <w:marRight w:val="0"/>
      <w:marTop w:val="0"/>
      <w:marBottom w:val="0"/>
      <w:divBdr>
        <w:top w:val="none" w:sz="0" w:space="0" w:color="auto"/>
        <w:left w:val="none" w:sz="0" w:space="0" w:color="auto"/>
        <w:bottom w:val="none" w:sz="0" w:space="0" w:color="auto"/>
        <w:right w:val="none" w:sz="0" w:space="0" w:color="auto"/>
      </w:divBdr>
    </w:div>
    <w:div w:id="974986150">
      <w:marLeft w:val="0"/>
      <w:marRight w:val="0"/>
      <w:marTop w:val="0"/>
      <w:marBottom w:val="0"/>
      <w:divBdr>
        <w:top w:val="none" w:sz="0" w:space="0" w:color="auto"/>
        <w:left w:val="none" w:sz="0" w:space="0" w:color="auto"/>
        <w:bottom w:val="none" w:sz="0" w:space="0" w:color="auto"/>
        <w:right w:val="none" w:sz="0" w:space="0" w:color="auto"/>
      </w:divBdr>
    </w:div>
    <w:div w:id="1000736939">
      <w:marLeft w:val="0"/>
      <w:marRight w:val="0"/>
      <w:marTop w:val="0"/>
      <w:marBottom w:val="0"/>
      <w:divBdr>
        <w:top w:val="none" w:sz="0" w:space="0" w:color="auto"/>
        <w:left w:val="none" w:sz="0" w:space="0" w:color="auto"/>
        <w:bottom w:val="none" w:sz="0" w:space="0" w:color="auto"/>
        <w:right w:val="none" w:sz="0" w:space="0" w:color="auto"/>
      </w:divBdr>
    </w:div>
    <w:div w:id="1005207194">
      <w:marLeft w:val="0"/>
      <w:marRight w:val="0"/>
      <w:marTop w:val="0"/>
      <w:marBottom w:val="0"/>
      <w:divBdr>
        <w:top w:val="none" w:sz="0" w:space="0" w:color="auto"/>
        <w:left w:val="none" w:sz="0" w:space="0" w:color="auto"/>
        <w:bottom w:val="none" w:sz="0" w:space="0" w:color="auto"/>
        <w:right w:val="none" w:sz="0" w:space="0" w:color="auto"/>
      </w:divBdr>
    </w:div>
    <w:div w:id="1005398659">
      <w:marLeft w:val="0"/>
      <w:marRight w:val="0"/>
      <w:marTop w:val="0"/>
      <w:marBottom w:val="0"/>
      <w:divBdr>
        <w:top w:val="none" w:sz="0" w:space="0" w:color="auto"/>
        <w:left w:val="none" w:sz="0" w:space="0" w:color="auto"/>
        <w:bottom w:val="none" w:sz="0" w:space="0" w:color="auto"/>
        <w:right w:val="none" w:sz="0" w:space="0" w:color="auto"/>
      </w:divBdr>
    </w:div>
    <w:div w:id="1025522624">
      <w:marLeft w:val="0"/>
      <w:marRight w:val="0"/>
      <w:marTop w:val="0"/>
      <w:marBottom w:val="0"/>
      <w:divBdr>
        <w:top w:val="none" w:sz="0" w:space="0" w:color="auto"/>
        <w:left w:val="none" w:sz="0" w:space="0" w:color="auto"/>
        <w:bottom w:val="none" w:sz="0" w:space="0" w:color="auto"/>
        <w:right w:val="none" w:sz="0" w:space="0" w:color="auto"/>
      </w:divBdr>
    </w:div>
    <w:div w:id="1028872622">
      <w:marLeft w:val="0"/>
      <w:marRight w:val="0"/>
      <w:marTop w:val="0"/>
      <w:marBottom w:val="0"/>
      <w:divBdr>
        <w:top w:val="none" w:sz="0" w:space="0" w:color="auto"/>
        <w:left w:val="none" w:sz="0" w:space="0" w:color="auto"/>
        <w:bottom w:val="none" w:sz="0" w:space="0" w:color="auto"/>
        <w:right w:val="none" w:sz="0" w:space="0" w:color="auto"/>
      </w:divBdr>
    </w:div>
    <w:div w:id="1034429724">
      <w:marLeft w:val="0"/>
      <w:marRight w:val="0"/>
      <w:marTop w:val="0"/>
      <w:marBottom w:val="0"/>
      <w:divBdr>
        <w:top w:val="none" w:sz="0" w:space="0" w:color="auto"/>
        <w:left w:val="none" w:sz="0" w:space="0" w:color="auto"/>
        <w:bottom w:val="none" w:sz="0" w:space="0" w:color="auto"/>
        <w:right w:val="none" w:sz="0" w:space="0" w:color="auto"/>
      </w:divBdr>
    </w:div>
    <w:div w:id="1036924541">
      <w:marLeft w:val="0"/>
      <w:marRight w:val="0"/>
      <w:marTop w:val="0"/>
      <w:marBottom w:val="0"/>
      <w:divBdr>
        <w:top w:val="none" w:sz="0" w:space="0" w:color="auto"/>
        <w:left w:val="none" w:sz="0" w:space="0" w:color="auto"/>
        <w:bottom w:val="none" w:sz="0" w:space="0" w:color="auto"/>
        <w:right w:val="none" w:sz="0" w:space="0" w:color="auto"/>
      </w:divBdr>
    </w:div>
    <w:div w:id="1053427731">
      <w:marLeft w:val="0"/>
      <w:marRight w:val="0"/>
      <w:marTop w:val="0"/>
      <w:marBottom w:val="0"/>
      <w:divBdr>
        <w:top w:val="none" w:sz="0" w:space="0" w:color="auto"/>
        <w:left w:val="none" w:sz="0" w:space="0" w:color="auto"/>
        <w:bottom w:val="none" w:sz="0" w:space="0" w:color="auto"/>
        <w:right w:val="none" w:sz="0" w:space="0" w:color="auto"/>
      </w:divBdr>
    </w:div>
    <w:div w:id="1062405954">
      <w:marLeft w:val="0"/>
      <w:marRight w:val="0"/>
      <w:marTop w:val="0"/>
      <w:marBottom w:val="0"/>
      <w:divBdr>
        <w:top w:val="none" w:sz="0" w:space="0" w:color="auto"/>
        <w:left w:val="none" w:sz="0" w:space="0" w:color="auto"/>
        <w:bottom w:val="none" w:sz="0" w:space="0" w:color="auto"/>
        <w:right w:val="none" w:sz="0" w:space="0" w:color="auto"/>
      </w:divBdr>
    </w:div>
    <w:div w:id="1063984079">
      <w:marLeft w:val="0"/>
      <w:marRight w:val="0"/>
      <w:marTop w:val="0"/>
      <w:marBottom w:val="0"/>
      <w:divBdr>
        <w:top w:val="none" w:sz="0" w:space="0" w:color="auto"/>
        <w:left w:val="none" w:sz="0" w:space="0" w:color="auto"/>
        <w:bottom w:val="none" w:sz="0" w:space="0" w:color="auto"/>
        <w:right w:val="none" w:sz="0" w:space="0" w:color="auto"/>
      </w:divBdr>
    </w:div>
    <w:div w:id="1066804700">
      <w:marLeft w:val="0"/>
      <w:marRight w:val="0"/>
      <w:marTop w:val="0"/>
      <w:marBottom w:val="0"/>
      <w:divBdr>
        <w:top w:val="none" w:sz="0" w:space="0" w:color="auto"/>
        <w:left w:val="none" w:sz="0" w:space="0" w:color="auto"/>
        <w:bottom w:val="none" w:sz="0" w:space="0" w:color="auto"/>
        <w:right w:val="none" w:sz="0" w:space="0" w:color="auto"/>
      </w:divBdr>
    </w:div>
    <w:div w:id="1075787969">
      <w:marLeft w:val="0"/>
      <w:marRight w:val="0"/>
      <w:marTop w:val="0"/>
      <w:marBottom w:val="0"/>
      <w:divBdr>
        <w:top w:val="none" w:sz="0" w:space="0" w:color="auto"/>
        <w:left w:val="none" w:sz="0" w:space="0" w:color="auto"/>
        <w:bottom w:val="none" w:sz="0" w:space="0" w:color="auto"/>
        <w:right w:val="none" w:sz="0" w:space="0" w:color="auto"/>
      </w:divBdr>
    </w:div>
    <w:div w:id="1078136819">
      <w:marLeft w:val="0"/>
      <w:marRight w:val="0"/>
      <w:marTop w:val="0"/>
      <w:marBottom w:val="0"/>
      <w:divBdr>
        <w:top w:val="none" w:sz="0" w:space="0" w:color="auto"/>
        <w:left w:val="none" w:sz="0" w:space="0" w:color="auto"/>
        <w:bottom w:val="none" w:sz="0" w:space="0" w:color="auto"/>
        <w:right w:val="none" w:sz="0" w:space="0" w:color="auto"/>
      </w:divBdr>
    </w:div>
    <w:div w:id="1084381480">
      <w:marLeft w:val="0"/>
      <w:marRight w:val="0"/>
      <w:marTop w:val="0"/>
      <w:marBottom w:val="0"/>
      <w:divBdr>
        <w:top w:val="none" w:sz="0" w:space="0" w:color="auto"/>
        <w:left w:val="none" w:sz="0" w:space="0" w:color="auto"/>
        <w:bottom w:val="none" w:sz="0" w:space="0" w:color="auto"/>
        <w:right w:val="none" w:sz="0" w:space="0" w:color="auto"/>
      </w:divBdr>
    </w:div>
    <w:div w:id="1099182843">
      <w:marLeft w:val="0"/>
      <w:marRight w:val="0"/>
      <w:marTop w:val="0"/>
      <w:marBottom w:val="0"/>
      <w:divBdr>
        <w:top w:val="none" w:sz="0" w:space="0" w:color="auto"/>
        <w:left w:val="none" w:sz="0" w:space="0" w:color="auto"/>
        <w:bottom w:val="none" w:sz="0" w:space="0" w:color="auto"/>
        <w:right w:val="none" w:sz="0" w:space="0" w:color="auto"/>
      </w:divBdr>
    </w:div>
    <w:div w:id="1113743804">
      <w:marLeft w:val="0"/>
      <w:marRight w:val="0"/>
      <w:marTop w:val="0"/>
      <w:marBottom w:val="0"/>
      <w:divBdr>
        <w:top w:val="none" w:sz="0" w:space="0" w:color="auto"/>
        <w:left w:val="none" w:sz="0" w:space="0" w:color="auto"/>
        <w:bottom w:val="none" w:sz="0" w:space="0" w:color="auto"/>
        <w:right w:val="none" w:sz="0" w:space="0" w:color="auto"/>
      </w:divBdr>
    </w:div>
    <w:div w:id="1119378221">
      <w:marLeft w:val="0"/>
      <w:marRight w:val="0"/>
      <w:marTop w:val="0"/>
      <w:marBottom w:val="0"/>
      <w:divBdr>
        <w:top w:val="none" w:sz="0" w:space="0" w:color="auto"/>
        <w:left w:val="none" w:sz="0" w:space="0" w:color="auto"/>
        <w:bottom w:val="none" w:sz="0" w:space="0" w:color="auto"/>
        <w:right w:val="none" w:sz="0" w:space="0" w:color="auto"/>
      </w:divBdr>
    </w:div>
    <w:div w:id="1126852247">
      <w:marLeft w:val="0"/>
      <w:marRight w:val="0"/>
      <w:marTop w:val="0"/>
      <w:marBottom w:val="0"/>
      <w:divBdr>
        <w:top w:val="none" w:sz="0" w:space="0" w:color="auto"/>
        <w:left w:val="none" w:sz="0" w:space="0" w:color="auto"/>
        <w:bottom w:val="none" w:sz="0" w:space="0" w:color="auto"/>
        <w:right w:val="none" w:sz="0" w:space="0" w:color="auto"/>
      </w:divBdr>
    </w:div>
    <w:div w:id="1141457840">
      <w:marLeft w:val="0"/>
      <w:marRight w:val="0"/>
      <w:marTop w:val="0"/>
      <w:marBottom w:val="0"/>
      <w:divBdr>
        <w:top w:val="none" w:sz="0" w:space="0" w:color="auto"/>
        <w:left w:val="none" w:sz="0" w:space="0" w:color="auto"/>
        <w:bottom w:val="none" w:sz="0" w:space="0" w:color="auto"/>
        <w:right w:val="none" w:sz="0" w:space="0" w:color="auto"/>
      </w:divBdr>
    </w:div>
    <w:div w:id="1142581616">
      <w:marLeft w:val="0"/>
      <w:marRight w:val="0"/>
      <w:marTop w:val="0"/>
      <w:marBottom w:val="0"/>
      <w:divBdr>
        <w:top w:val="none" w:sz="0" w:space="0" w:color="auto"/>
        <w:left w:val="none" w:sz="0" w:space="0" w:color="auto"/>
        <w:bottom w:val="none" w:sz="0" w:space="0" w:color="auto"/>
        <w:right w:val="none" w:sz="0" w:space="0" w:color="auto"/>
      </w:divBdr>
    </w:div>
    <w:div w:id="1148014015">
      <w:marLeft w:val="0"/>
      <w:marRight w:val="0"/>
      <w:marTop w:val="0"/>
      <w:marBottom w:val="0"/>
      <w:divBdr>
        <w:top w:val="none" w:sz="0" w:space="0" w:color="auto"/>
        <w:left w:val="none" w:sz="0" w:space="0" w:color="auto"/>
        <w:bottom w:val="none" w:sz="0" w:space="0" w:color="auto"/>
        <w:right w:val="none" w:sz="0" w:space="0" w:color="auto"/>
      </w:divBdr>
    </w:div>
    <w:div w:id="1150513612">
      <w:marLeft w:val="0"/>
      <w:marRight w:val="0"/>
      <w:marTop w:val="0"/>
      <w:marBottom w:val="0"/>
      <w:divBdr>
        <w:top w:val="none" w:sz="0" w:space="0" w:color="auto"/>
        <w:left w:val="none" w:sz="0" w:space="0" w:color="auto"/>
        <w:bottom w:val="none" w:sz="0" w:space="0" w:color="auto"/>
        <w:right w:val="none" w:sz="0" w:space="0" w:color="auto"/>
      </w:divBdr>
    </w:div>
    <w:div w:id="1159349843">
      <w:marLeft w:val="0"/>
      <w:marRight w:val="0"/>
      <w:marTop w:val="0"/>
      <w:marBottom w:val="0"/>
      <w:divBdr>
        <w:top w:val="none" w:sz="0" w:space="0" w:color="auto"/>
        <w:left w:val="none" w:sz="0" w:space="0" w:color="auto"/>
        <w:bottom w:val="none" w:sz="0" w:space="0" w:color="auto"/>
        <w:right w:val="none" w:sz="0" w:space="0" w:color="auto"/>
      </w:divBdr>
    </w:div>
    <w:div w:id="1163087362">
      <w:marLeft w:val="0"/>
      <w:marRight w:val="0"/>
      <w:marTop w:val="0"/>
      <w:marBottom w:val="0"/>
      <w:divBdr>
        <w:top w:val="none" w:sz="0" w:space="0" w:color="auto"/>
        <w:left w:val="none" w:sz="0" w:space="0" w:color="auto"/>
        <w:bottom w:val="none" w:sz="0" w:space="0" w:color="auto"/>
        <w:right w:val="none" w:sz="0" w:space="0" w:color="auto"/>
      </w:divBdr>
    </w:div>
    <w:div w:id="1163816595">
      <w:marLeft w:val="0"/>
      <w:marRight w:val="0"/>
      <w:marTop w:val="0"/>
      <w:marBottom w:val="0"/>
      <w:divBdr>
        <w:top w:val="none" w:sz="0" w:space="0" w:color="auto"/>
        <w:left w:val="none" w:sz="0" w:space="0" w:color="auto"/>
        <w:bottom w:val="none" w:sz="0" w:space="0" w:color="auto"/>
        <w:right w:val="none" w:sz="0" w:space="0" w:color="auto"/>
      </w:divBdr>
    </w:div>
    <w:div w:id="1173913436">
      <w:marLeft w:val="0"/>
      <w:marRight w:val="0"/>
      <w:marTop w:val="0"/>
      <w:marBottom w:val="0"/>
      <w:divBdr>
        <w:top w:val="none" w:sz="0" w:space="0" w:color="auto"/>
        <w:left w:val="none" w:sz="0" w:space="0" w:color="auto"/>
        <w:bottom w:val="none" w:sz="0" w:space="0" w:color="auto"/>
        <w:right w:val="none" w:sz="0" w:space="0" w:color="auto"/>
      </w:divBdr>
    </w:div>
    <w:div w:id="1186359255">
      <w:marLeft w:val="0"/>
      <w:marRight w:val="0"/>
      <w:marTop w:val="0"/>
      <w:marBottom w:val="0"/>
      <w:divBdr>
        <w:top w:val="none" w:sz="0" w:space="0" w:color="auto"/>
        <w:left w:val="none" w:sz="0" w:space="0" w:color="auto"/>
        <w:bottom w:val="none" w:sz="0" w:space="0" w:color="auto"/>
        <w:right w:val="none" w:sz="0" w:space="0" w:color="auto"/>
      </w:divBdr>
    </w:div>
    <w:div w:id="1191454953">
      <w:marLeft w:val="0"/>
      <w:marRight w:val="0"/>
      <w:marTop w:val="0"/>
      <w:marBottom w:val="0"/>
      <w:divBdr>
        <w:top w:val="none" w:sz="0" w:space="0" w:color="auto"/>
        <w:left w:val="none" w:sz="0" w:space="0" w:color="auto"/>
        <w:bottom w:val="none" w:sz="0" w:space="0" w:color="auto"/>
        <w:right w:val="none" w:sz="0" w:space="0" w:color="auto"/>
      </w:divBdr>
    </w:div>
    <w:div w:id="1195582323">
      <w:marLeft w:val="0"/>
      <w:marRight w:val="0"/>
      <w:marTop w:val="0"/>
      <w:marBottom w:val="0"/>
      <w:divBdr>
        <w:top w:val="none" w:sz="0" w:space="0" w:color="auto"/>
        <w:left w:val="none" w:sz="0" w:space="0" w:color="auto"/>
        <w:bottom w:val="none" w:sz="0" w:space="0" w:color="auto"/>
        <w:right w:val="none" w:sz="0" w:space="0" w:color="auto"/>
      </w:divBdr>
    </w:div>
    <w:div w:id="1226911378">
      <w:marLeft w:val="0"/>
      <w:marRight w:val="0"/>
      <w:marTop w:val="0"/>
      <w:marBottom w:val="0"/>
      <w:divBdr>
        <w:top w:val="none" w:sz="0" w:space="0" w:color="auto"/>
        <w:left w:val="none" w:sz="0" w:space="0" w:color="auto"/>
        <w:bottom w:val="none" w:sz="0" w:space="0" w:color="auto"/>
        <w:right w:val="none" w:sz="0" w:space="0" w:color="auto"/>
      </w:divBdr>
    </w:div>
    <w:div w:id="1231581623">
      <w:marLeft w:val="0"/>
      <w:marRight w:val="0"/>
      <w:marTop w:val="0"/>
      <w:marBottom w:val="0"/>
      <w:divBdr>
        <w:top w:val="none" w:sz="0" w:space="0" w:color="auto"/>
        <w:left w:val="none" w:sz="0" w:space="0" w:color="auto"/>
        <w:bottom w:val="none" w:sz="0" w:space="0" w:color="auto"/>
        <w:right w:val="none" w:sz="0" w:space="0" w:color="auto"/>
      </w:divBdr>
    </w:div>
    <w:div w:id="1235777730">
      <w:marLeft w:val="0"/>
      <w:marRight w:val="0"/>
      <w:marTop w:val="0"/>
      <w:marBottom w:val="0"/>
      <w:divBdr>
        <w:top w:val="none" w:sz="0" w:space="0" w:color="auto"/>
        <w:left w:val="none" w:sz="0" w:space="0" w:color="auto"/>
        <w:bottom w:val="none" w:sz="0" w:space="0" w:color="auto"/>
        <w:right w:val="none" w:sz="0" w:space="0" w:color="auto"/>
      </w:divBdr>
    </w:div>
    <w:div w:id="1242449348">
      <w:marLeft w:val="0"/>
      <w:marRight w:val="0"/>
      <w:marTop w:val="0"/>
      <w:marBottom w:val="0"/>
      <w:divBdr>
        <w:top w:val="none" w:sz="0" w:space="0" w:color="auto"/>
        <w:left w:val="none" w:sz="0" w:space="0" w:color="auto"/>
        <w:bottom w:val="none" w:sz="0" w:space="0" w:color="auto"/>
        <w:right w:val="none" w:sz="0" w:space="0" w:color="auto"/>
      </w:divBdr>
    </w:div>
    <w:div w:id="1250045518">
      <w:marLeft w:val="0"/>
      <w:marRight w:val="0"/>
      <w:marTop w:val="0"/>
      <w:marBottom w:val="0"/>
      <w:divBdr>
        <w:top w:val="none" w:sz="0" w:space="0" w:color="auto"/>
        <w:left w:val="none" w:sz="0" w:space="0" w:color="auto"/>
        <w:bottom w:val="none" w:sz="0" w:space="0" w:color="auto"/>
        <w:right w:val="none" w:sz="0" w:space="0" w:color="auto"/>
      </w:divBdr>
    </w:div>
    <w:div w:id="1252739165">
      <w:marLeft w:val="0"/>
      <w:marRight w:val="0"/>
      <w:marTop w:val="0"/>
      <w:marBottom w:val="0"/>
      <w:divBdr>
        <w:top w:val="none" w:sz="0" w:space="0" w:color="auto"/>
        <w:left w:val="none" w:sz="0" w:space="0" w:color="auto"/>
        <w:bottom w:val="none" w:sz="0" w:space="0" w:color="auto"/>
        <w:right w:val="none" w:sz="0" w:space="0" w:color="auto"/>
      </w:divBdr>
    </w:div>
    <w:div w:id="1261793308">
      <w:marLeft w:val="0"/>
      <w:marRight w:val="0"/>
      <w:marTop w:val="0"/>
      <w:marBottom w:val="0"/>
      <w:divBdr>
        <w:top w:val="none" w:sz="0" w:space="0" w:color="auto"/>
        <w:left w:val="none" w:sz="0" w:space="0" w:color="auto"/>
        <w:bottom w:val="none" w:sz="0" w:space="0" w:color="auto"/>
        <w:right w:val="none" w:sz="0" w:space="0" w:color="auto"/>
      </w:divBdr>
    </w:div>
    <w:div w:id="1267275095">
      <w:marLeft w:val="0"/>
      <w:marRight w:val="0"/>
      <w:marTop w:val="0"/>
      <w:marBottom w:val="0"/>
      <w:divBdr>
        <w:top w:val="none" w:sz="0" w:space="0" w:color="auto"/>
        <w:left w:val="none" w:sz="0" w:space="0" w:color="auto"/>
        <w:bottom w:val="none" w:sz="0" w:space="0" w:color="auto"/>
        <w:right w:val="none" w:sz="0" w:space="0" w:color="auto"/>
      </w:divBdr>
    </w:div>
    <w:div w:id="1269898005">
      <w:marLeft w:val="0"/>
      <w:marRight w:val="0"/>
      <w:marTop w:val="0"/>
      <w:marBottom w:val="0"/>
      <w:divBdr>
        <w:top w:val="none" w:sz="0" w:space="0" w:color="auto"/>
        <w:left w:val="none" w:sz="0" w:space="0" w:color="auto"/>
        <w:bottom w:val="none" w:sz="0" w:space="0" w:color="auto"/>
        <w:right w:val="none" w:sz="0" w:space="0" w:color="auto"/>
      </w:divBdr>
    </w:div>
    <w:div w:id="1278441157">
      <w:marLeft w:val="0"/>
      <w:marRight w:val="0"/>
      <w:marTop w:val="0"/>
      <w:marBottom w:val="0"/>
      <w:divBdr>
        <w:top w:val="none" w:sz="0" w:space="0" w:color="auto"/>
        <w:left w:val="none" w:sz="0" w:space="0" w:color="auto"/>
        <w:bottom w:val="none" w:sz="0" w:space="0" w:color="auto"/>
        <w:right w:val="none" w:sz="0" w:space="0" w:color="auto"/>
      </w:divBdr>
    </w:div>
    <w:div w:id="1291133857">
      <w:marLeft w:val="0"/>
      <w:marRight w:val="0"/>
      <w:marTop w:val="0"/>
      <w:marBottom w:val="0"/>
      <w:divBdr>
        <w:top w:val="none" w:sz="0" w:space="0" w:color="auto"/>
        <w:left w:val="none" w:sz="0" w:space="0" w:color="auto"/>
        <w:bottom w:val="none" w:sz="0" w:space="0" w:color="auto"/>
        <w:right w:val="none" w:sz="0" w:space="0" w:color="auto"/>
      </w:divBdr>
    </w:div>
    <w:div w:id="1293097498">
      <w:marLeft w:val="0"/>
      <w:marRight w:val="0"/>
      <w:marTop w:val="0"/>
      <w:marBottom w:val="0"/>
      <w:divBdr>
        <w:top w:val="none" w:sz="0" w:space="0" w:color="auto"/>
        <w:left w:val="none" w:sz="0" w:space="0" w:color="auto"/>
        <w:bottom w:val="none" w:sz="0" w:space="0" w:color="auto"/>
        <w:right w:val="none" w:sz="0" w:space="0" w:color="auto"/>
      </w:divBdr>
    </w:div>
    <w:div w:id="1296908657">
      <w:marLeft w:val="0"/>
      <w:marRight w:val="0"/>
      <w:marTop w:val="0"/>
      <w:marBottom w:val="0"/>
      <w:divBdr>
        <w:top w:val="none" w:sz="0" w:space="0" w:color="auto"/>
        <w:left w:val="none" w:sz="0" w:space="0" w:color="auto"/>
        <w:bottom w:val="none" w:sz="0" w:space="0" w:color="auto"/>
        <w:right w:val="none" w:sz="0" w:space="0" w:color="auto"/>
      </w:divBdr>
    </w:div>
    <w:div w:id="1297031992">
      <w:marLeft w:val="0"/>
      <w:marRight w:val="0"/>
      <w:marTop w:val="0"/>
      <w:marBottom w:val="0"/>
      <w:divBdr>
        <w:top w:val="none" w:sz="0" w:space="0" w:color="auto"/>
        <w:left w:val="none" w:sz="0" w:space="0" w:color="auto"/>
        <w:bottom w:val="none" w:sz="0" w:space="0" w:color="auto"/>
        <w:right w:val="none" w:sz="0" w:space="0" w:color="auto"/>
      </w:divBdr>
    </w:div>
    <w:div w:id="1302493606">
      <w:marLeft w:val="0"/>
      <w:marRight w:val="0"/>
      <w:marTop w:val="0"/>
      <w:marBottom w:val="0"/>
      <w:divBdr>
        <w:top w:val="none" w:sz="0" w:space="0" w:color="auto"/>
        <w:left w:val="none" w:sz="0" w:space="0" w:color="auto"/>
        <w:bottom w:val="none" w:sz="0" w:space="0" w:color="auto"/>
        <w:right w:val="none" w:sz="0" w:space="0" w:color="auto"/>
      </w:divBdr>
    </w:div>
    <w:div w:id="1305811349">
      <w:marLeft w:val="0"/>
      <w:marRight w:val="0"/>
      <w:marTop w:val="0"/>
      <w:marBottom w:val="0"/>
      <w:divBdr>
        <w:top w:val="none" w:sz="0" w:space="0" w:color="auto"/>
        <w:left w:val="none" w:sz="0" w:space="0" w:color="auto"/>
        <w:bottom w:val="none" w:sz="0" w:space="0" w:color="auto"/>
        <w:right w:val="none" w:sz="0" w:space="0" w:color="auto"/>
      </w:divBdr>
    </w:div>
    <w:div w:id="1311638309">
      <w:marLeft w:val="0"/>
      <w:marRight w:val="0"/>
      <w:marTop w:val="0"/>
      <w:marBottom w:val="0"/>
      <w:divBdr>
        <w:top w:val="none" w:sz="0" w:space="0" w:color="auto"/>
        <w:left w:val="none" w:sz="0" w:space="0" w:color="auto"/>
        <w:bottom w:val="none" w:sz="0" w:space="0" w:color="auto"/>
        <w:right w:val="none" w:sz="0" w:space="0" w:color="auto"/>
      </w:divBdr>
    </w:div>
    <w:div w:id="1319650425">
      <w:marLeft w:val="0"/>
      <w:marRight w:val="0"/>
      <w:marTop w:val="0"/>
      <w:marBottom w:val="0"/>
      <w:divBdr>
        <w:top w:val="none" w:sz="0" w:space="0" w:color="auto"/>
        <w:left w:val="none" w:sz="0" w:space="0" w:color="auto"/>
        <w:bottom w:val="none" w:sz="0" w:space="0" w:color="auto"/>
        <w:right w:val="none" w:sz="0" w:space="0" w:color="auto"/>
      </w:divBdr>
    </w:div>
    <w:div w:id="1322538478">
      <w:marLeft w:val="0"/>
      <w:marRight w:val="0"/>
      <w:marTop w:val="0"/>
      <w:marBottom w:val="0"/>
      <w:divBdr>
        <w:top w:val="none" w:sz="0" w:space="0" w:color="auto"/>
        <w:left w:val="none" w:sz="0" w:space="0" w:color="auto"/>
        <w:bottom w:val="none" w:sz="0" w:space="0" w:color="auto"/>
        <w:right w:val="none" w:sz="0" w:space="0" w:color="auto"/>
      </w:divBdr>
    </w:div>
    <w:div w:id="1329023070">
      <w:marLeft w:val="0"/>
      <w:marRight w:val="0"/>
      <w:marTop w:val="0"/>
      <w:marBottom w:val="0"/>
      <w:divBdr>
        <w:top w:val="none" w:sz="0" w:space="0" w:color="auto"/>
        <w:left w:val="none" w:sz="0" w:space="0" w:color="auto"/>
        <w:bottom w:val="none" w:sz="0" w:space="0" w:color="auto"/>
        <w:right w:val="none" w:sz="0" w:space="0" w:color="auto"/>
      </w:divBdr>
    </w:div>
    <w:div w:id="1335720974">
      <w:marLeft w:val="0"/>
      <w:marRight w:val="0"/>
      <w:marTop w:val="0"/>
      <w:marBottom w:val="0"/>
      <w:divBdr>
        <w:top w:val="none" w:sz="0" w:space="0" w:color="auto"/>
        <w:left w:val="none" w:sz="0" w:space="0" w:color="auto"/>
        <w:bottom w:val="none" w:sz="0" w:space="0" w:color="auto"/>
        <w:right w:val="none" w:sz="0" w:space="0" w:color="auto"/>
      </w:divBdr>
    </w:div>
    <w:div w:id="1356805269">
      <w:marLeft w:val="0"/>
      <w:marRight w:val="0"/>
      <w:marTop w:val="0"/>
      <w:marBottom w:val="0"/>
      <w:divBdr>
        <w:top w:val="none" w:sz="0" w:space="0" w:color="auto"/>
        <w:left w:val="none" w:sz="0" w:space="0" w:color="auto"/>
        <w:bottom w:val="none" w:sz="0" w:space="0" w:color="auto"/>
        <w:right w:val="none" w:sz="0" w:space="0" w:color="auto"/>
      </w:divBdr>
    </w:div>
    <w:div w:id="1358773832">
      <w:marLeft w:val="0"/>
      <w:marRight w:val="0"/>
      <w:marTop w:val="0"/>
      <w:marBottom w:val="0"/>
      <w:divBdr>
        <w:top w:val="none" w:sz="0" w:space="0" w:color="auto"/>
        <w:left w:val="none" w:sz="0" w:space="0" w:color="auto"/>
        <w:bottom w:val="none" w:sz="0" w:space="0" w:color="auto"/>
        <w:right w:val="none" w:sz="0" w:space="0" w:color="auto"/>
      </w:divBdr>
    </w:div>
    <w:div w:id="1375615665">
      <w:marLeft w:val="0"/>
      <w:marRight w:val="0"/>
      <w:marTop w:val="0"/>
      <w:marBottom w:val="0"/>
      <w:divBdr>
        <w:top w:val="none" w:sz="0" w:space="0" w:color="auto"/>
        <w:left w:val="none" w:sz="0" w:space="0" w:color="auto"/>
        <w:bottom w:val="none" w:sz="0" w:space="0" w:color="auto"/>
        <w:right w:val="none" w:sz="0" w:space="0" w:color="auto"/>
      </w:divBdr>
    </w:div>
    <w:div w:id="1376584060">
      <w:marLeft w:val="0"/>
      <w:marRight w:val="0"/>
      <w:marTop w:val="0"/>
      <w:marBottom w:val="0"/>
      <w:divBdr>
        <w:top w:val="none" w:sz="0" w:space="0" w:color="auto"/>
        <w:left w:val="none" w:sz="0" w:space="0" w:color="auto"/>
        <w:bottom w:val="none" w:sz="0" w:space="0" w:color="auto"/>
        <w:right w:val="none" w:sz="0" w:space="0" w:color="auto"/>
      </w:divBdr>
    </w:div>
    <w:div w:id="1379816399">
      <w:marLeft w:val="0"/>
      <w:marRight w:val="0"/>
      <w:marTop w:val="0"/>
      <w:marBottom w:val="0"/>
      <w:divBdr>
        <w:top w:val="none" w:sz="0" w:space="0" w:color="auto"/>
        <w:left w:val="none" w:sz="0" w:space="0" w:color="auto"/>
        <w:bottom w:val="none" w:sz="0" w:space="0" w:color="auto"/>
        <w:right w:val="none" w:sz="0" w:space="0" w:color="auto"/>
      </w:divBdr>
    </w:div>
    <w:div w:id="1385911098">
      <w:marLeft w:val="0"/>
      <w:marRight w:val="0"/>
      <w:marTop w:val="0"/>
      <w:marBottom w:val="0"/>
      <w:divBdr>
        <w:top w:val="none" w:sz="0" w:space="0" w:color="auto"/>
        <w:left w:val="none" w:sz="0" w:space="0" w:color="auto"/>
        <w:bottom w:val="none" w:sz="0" w:space="0" w:color="auto"/>
        <w:right w:val="none" w:sz="0" w:space="0" w:color="auto"/>
      </w:divBdr>
    </w:div>
    <w:div w:id="1390154380">
      <w:marLeft w:val="0"/>
      <w:marRight w:val="0"/>
      <w:marTop w:val="0"/>
      <w:marBottom w:val="0"/>
      <w:divBdr>
        <w:top w:val="none" w:sz="0" w:space="0" w:color="auto"/>
        <w:left w:val="none" w:sz="0" w:space="0" w:color="auto"/>
        <w:bottom w:val="none" w:sz="0" w:space="0" w:color="auto"/>
        <w:right w:val="none" w:sz="0" w:space="0" w:color="auto"/>
      </w:divBdr>
    </w:div>
    <w:div w:id="1400444460">
      <w:marLeft w:val="0"/>
      <w:marRight w:val="0"/>
      <w:marTop w:val="0"/>
      <w:marBottom w:val="0"/>
      <w:divBdr>
        <w:top w:val="none" w:sz="0" w:space="0" w:color="auto"/>
        <w:left w:val="none" w:sz="0" w:space="0" w:color="auto"/>
        <w:bottom w:val="none" w:sz="0" w:space="0" w:color="auto"/>
        <w:right w:val="none" w:sz="0" w:space="0" w:color="auto"/>
      </w:divBdr>
    </w:div>
    <w:div w:id="1414206074">
      <w:marLeft w:val="0"/>
      <w:marRight w:val="0"/>
      <w:marTop w:val="0"/>
      <w:marBottom w:val="0"/>
      <w:divBdr>
        <w:top w:val="none" w:sz="0" w:space="0" w:color="auto"/>
        <w:left w:val="none" w:sz="0" w:space="0" w:color="auto"/>
        <w:bottom w:val="none" w:sz="0" w:space="0" w:color="auto"/>
        <w:right w:val="none" w:sz="0" w:space="0" w:color="auto"/>
      </w:divBdr>
    </w:div>
    <w:div w:id="1419523101">
      <w:marLeft w:val="0"/>
      <w:marRight w:val="0"/>
      <w:marTop w:val="0"/>
      <w:marBottom w:val="0"/>
      <w:divBdr>
        <w:top w:val="none" w:sz="0" w:space="0" w:color="auto"/>
        <w:left w:val="none" w:sz="0" w:space="0" w:color="auto"/>
        <w:bottom w:val="none" w:sz="0" w:space="0" w:color="auto"/>
        <w:right w:val="none" w:sz="0" w:space="0" w:color="auto"/>
      </w:divBdr>
    </w:div>
    <w:div w:id="1421609442">
      <w:marLeft w:val="0"/>
      <w:marRight w:val="0"/>
      <w:marTop w:val="0"/>
      <w:marBottom w:val="0"/>
      <w:divBdr>
        <w:top w:val="none" w:sz="0" w:space="0" w:color="auto"/>
        <w:left w:val="none" w:sz="0" w:space="0" w:color="auto"/>
        <w:bottom w:val="none" w:sz="0" w:space="0" w:color="auto"/>
        <w:right w:val="none" w:sz="0" w:space="0" w:color="auto"/>
      </w:divBdr>
    </w:div>
    <w:div w:id="1428110244">
      <w:marLeft w:val="0"/>
      <w:marRight w:val="0"/>
      <w:marTop w:val="0"/>
      <w:marBottom w:val="0"/>
      <w:divBdr>
        <w:top w:val="none" w:sz="0" w:space="0" w:color="auto"/>
        <w:left w:val="none" w:sz="0" w:space="0" w:color="auto"/>
        <w:bottom w:val="none" w:sz="0" w:space="0" w:color="auto"/>
        <w:right w:val="none" w:sz="0" w:space="0" w:color="auto"/>
      </w:divBdr>
    </w:div>
    <w:div w:id="1454518505">
      <w:marLeft w:val="0"/>
      <w:marRight w:val="0"/>
      <w:marTop w:val="0"/>
      <w:marBottom w:val="0"/>
      <w:divBdr>
        <w:top w:val="none" w:sz="0" w:space="0" w:color="auto"/>
        <w:left w:val="none" w:sz="0" w:space="0" w:color="auto"/>
        <w:bottom w:val="none" w:sz="0" w:space="0" w:color="auto"/>
        <w:right w:val="none" w:sz="0" w:space="0" w:color="auto"/>
      </w:divBdr>
    </w:div>
    <w:div w:id="1476949343">
      <w:marLeft w:val="0"/>
      <w:marRight w:val="0"/>
      <w:marTop w:val="0"/>
      <w:marBottom w:val="0"/>
      <w:divBdr>
        <w:top w:val="none" w:sz="0" w:space="0" w:color="auto"/>
        <w:left w:val="none" w:sz="0" w:space="0" w:color="auto"/>
        <w:bottom w:val="none" w:sz="0" w:space="0" w:color="auto"/>
        <w:right w:val="none" w:sz="0" w:space="0" w:color="auto"/>
      </w:divBdr>
    </w:div>
    <w:div w:id="1483961126">
      <w:marLeft w:val="0"/>
      <w:marRight w:val="0"/>
      <w:marTop w:val="0"/>
      <w:marBottom w:val="0"/>
      <w:divBdr>
        <w:top w:val="none" w:sz="0" w:space="0" w:color="auto"/>
        <w:left w:val="none" w:sz="0" w:space="0" w:color="auto"/>
        <w:bottom w:val="none" w:sz="0" w:space="0" w:color="auto"/>
        <w:right w:val="none" w:sz="0" w:space="0" w:color="auto"/>
      </w:divBdr>
    </w:div>
    <w:div w:id="1484589909">
      <w:marLeft w:val="0"/>
      <w:marRight w:val="0"/>
      <w:marTop w:val="0"/>
      <w:marBottom w:val="0"/>
      <w:divBdr>
        <w:top w:val="none" w:sz="0" w:space="0" w:color="auto"/>
        <w:left w:val="none" w:sz="0" w:space="0" w:color="auto"/>
        <w:bottom w:val="none" w:sz="0" w:space="0" w:color="auto"/>
        <w:right w:val="none" w:sz="0" w:space="0" w:color="auto"/>
      </w:divBdr>
    </w:div>
    <w:div w:id="1490243050">
      <w:marLeft w:val="0"/>
      <w:marRight w:val="0"/>
      <w:marTop w:val="0"/>
      <w:marBottom w:val="0"/>
      <w:divBdr>
        <w:top w:val="none" w:sz="0" w:space="0" w:color="auto"/>
        <w:left w:val="none" w:sz="0" w:space="0" w:color="auto"/>
        <w:bottom w:val="none" w:sz="0" w:space="0" w:color="auto"/>
        <w:right w:val="none" w:sz="0" w:space="0" w:color="auto"/>
      </w:divBdr>
    </w:div>
    <w:div w:id="1491100552">
      <w:marLeft w:val="0"/>
      <w:marRight w:val="0"/>
      <w:marTop w:val="0"/>
      <w:marBottom w:val="0"/>
      <w:divBdr>
        <w:top w:val="none" w:sz="0" w:space="0" w:color="auto"/>
        <w:left w:val="none" w:sz="0" w:space="0" w:color="auto"/>
        <w:bottom w:val="none" w:sz="0" w:space="0" w:color="auto"/>
        <w:right w:val="none" w:sz="0" w:space="0" w:color="auto"/>
      </w:divBdr>
    </w:div>
    <w:div w:id="1500147287">
      <w:marLeft w:val="0"/>
      <w:marRight w:val="0"/>
      <w:marTop w:val="0"/>
      <w:marBottom w:val="0"/>
      <w:divBdr>
        <w:top w:val="none" w:sz="0" w:space="0" w:color="auto"/>
        <w:left w:val="none" w:sz="0" w:space="0" w:color="auto"/>
        <w:bottom w:val="none" w:sz="0" w:space="0" w:color="auto"/>
        <w:right w:val="none" w:sz="0" w:space="0" w:color="auto"/>
      </w:divBdr>
    </w:div>
    <w:div w:id="1504323845">
      <w:marLeft w:val="0"/>
      <w:marRight w:val="0"/>
      <w:marTop w:val="0"/>
      <w:marBottom w:val="0"/>
      <w:divBdr>
        <w:top w:val="none" w:sz="0" w:space="0" w:color="auto"/>
        <w:left w:val="none" w:sz="0" w:space="0" w:color="auto"/>
        <w:bottom w:val="none" w:sz="0" w:space="0" w:color="auto"/>
        <w:right w:val="none" w:sz="0" w:space="0" w:color="auto"/>
      </w:divBdr>
    </w:div>
    <w:div w:id="1504661288">
      <w:marLeft w:val="0"/>
      <w:marRight w:val="0"/>
      <w:marTop w:val="0"/>
      <w:marBottom w:val="0"/>
      <w:divBdr>
        <w:top w:val="none" w:sz="0" w:space="0" w:color="auto"/>
        <w:left w:val="none" w:sz="0" w:space="0" w:color="auto"/>
        <w:bottom w:val="none" w:sz="0" w:space="0" w:color="auto"/>
        <w:right w:val="none" w:sz="0" w:space="0" w:color="auto"/>
      </w:divBdr>
    </w:div>
    <w:div w:id="1516916023">
      <w:marLeft w:val="0"/>
      <w:marRight w:val="0"/>
      <w:marTop w:val="0"/>
      <w:marBottom w:val="0"/>
      <w:divBdr>
        <w:top w:val="none" w:sz="0" w:space="0" w:color="auto"/>
        <w:left w:val="none" w:sz="0" w:space="0" w:color="auto"/>
        <w:bottom w:val="none" w:sz="0" w:space="0" w:color="auto"/>
        <w:right w:val="none" w:sz="0" w:space="0" w:color="auto"/>
      </w:divBdr>
    </w:div>
    <w:div w:id="1524050651">
      <w:marLeft w:val="0"/>
      <w:marRight w:val="0"/>
      <w:marTop w:val="0"/>
      <w:marBottom w:val="0"/>
      <w:divBdr>
        <w:top w:val="none" w:sz="0" w:space="0" w:color="auto"/>
        <w:left w:val="none" w:sz="0" w:space="0" w:color="auto"/>
        <w:bottom w:val="none" w:sz="0" w:space="0" w:color="auto"/>
        <w:right w:val="none" w:sz="0" w:space="0" w:color="auto"/>
      </w:divBdr>
    </w:div>
    <w:div w:id="1529177663">
      <w:marLeft w:val="0"/>
      <w:marRight w:val="0"/>
      <w:marTop w:val="0"/>
      <w:marBottom w:val="0"/>
      <w:divBdr>
        <w:top w:val="none" w:sz="0" w:space="0" w:color="auto"/>
        <w:left w:val="none" w:sz="0" w:space="0" w:color="auto"/>
        <w:bottom w:val="none" w:sz="0" w:space="0" w:color="auto"/>
        <w:right w:val="none" w:sz="0" w:space="0" w:color="auto"/>
      </w:divBdr>
    </w:div>
    <w:div w:id="1558277493">
      <w:marLeft w:val="0"/>
      <w:marRight w:val="0"/>
      <w:marTop w:val="0"/>
      <w:marBottom w:val="0"/>
      <w:divBdr>
        <w:top w:val="none" w:sz="0" w:space="0" w:color="auto"/>
        <w:left w:val="none" w:sz="0" w:space="0" w:color="auto"/>
        <w:bottom w:val="none" w:sz="0" w:space="0" w:color="auto"/>
        <w:right w:val="none" w:sz="0" w:space="0" w:color="auto"/>
      </w:divBdr>
    </w:div>
    <w:div w:id="1582980896">
      <w:marLeft w:val="0"/>
      <w:marRight w:val="0"/>
      <w:marTop w:val="0"/>
      <w:marBottom w:val="0"/>
      <w:divBdr>
        <w:top w:val="none" w:sz="0" w:space="0" w:color="auto"/>
        <w:left w:val="none" w:sz="0" w:space="0" w:color="auto"/>
        <w:bottom w:val="none" w:sz="0" w:space="0" w:color="auto"/>
        <w:right w:val="none" w:sz="0" w:space="0" w:color="auto"/>
      </w:divBdr>
    </w:div>
    <w:div w:id="1583443656">
      <w:marLeft w:val="0"/>
      <w:marRight w:val="0"/>
      <w:marTop w:val="0"/>
      <w:marBottom w:val="0"/>
      <w:divBdr>
        <w:top w:val="none" w:sz="0" w:space="0" w:color="auto"/>
        <w:left w:val="none" w:sz="0" w:space="0" w:color="auto"/>
        <w:bottom w:val="none" w:sz="0" w:space="0" w:color="auto"/>
        <w:right w:val="none" w:sz="0" w:space="0" w:color="auto"/>
      </w:divBdr>
    </w:div>
    <w:div w:id="1596748563">
      <w:marLeft w:val="0"/>
      <w:marRight w:val="0"/>
      <w:marTop w:val="0"/>
      <w:marBottom w:val="0"/>
      <w:divBdr>
        <w:top w:val="none" w:sz="0" w:space="0" w:color="auto"/>
        <w:left w:val="none" w:sz="0" w:space="0" w:color="auto"/>
        <w:bottom w:val="none" w:sz="0" w:space="0" w:color="auto"/>
        <w:right w:val="none" w:sz="0" w:space="0" w:color="auto"/>
      </w:divBdr>
    </w:div>
    <w:div w:id="1598636660">
      <w:marLeft w:val="0"/>
      <w:marRight w:val="0"/>
      <w:marTop w:val="0"/>
      <w:marBottom w:val="0"/>
      <w:divBdr>
        <w:top w:val="none" w:sz="0" w:space="0" w:color="auto"/>
        <w:left w:val="none" w:sz="0" w:space="0" w:color="auto"/>
        <w:bottom w:val="none" w:sz="0" w:space="0" w:color="auto"/>
        <w:right w:val="none" w:sz="0" w:space="0" w:color="auto"/>
      </w:divBdr>
    </w:div>
    <w:div w:id="1607957144">
      <w:marLeft w:val="0"/>
      <w:marRight w:val="0"/>
      <w:marTop w:val="0"/>
      <w:marBottom w:val="0"/>
      <w:divBdr>
        <w:top w:val="none" w:sz="0" w:space="0" w:color="auto"/>
        <w:left w:val="none" w:sz="0" w:space="0" w:color="auto"/>
        <w:bottom w:val="none" w:sz="0" w:space="0" w:color="auto"/>
        <w:right w:val="none" w:sz="0" w:space="0" w:color="auto"/>
      </w:divBdr>
    </w:div>
    <w:div w:id="1612198586">
      <w:marLeft w:val="0"/>
      <w:marRight w:val="0"/>
      <w:marTop w:val="0"/>
      <w:marBottom w:val="0"/>
      <w:divBdr>
        <w:top w:val="none" w:sz="0" w:space="0" w:color="auto"/>
        <w:left w:val="none" w:sz="0" w:space="0" w:color="auto"/>
        <w:bottom w:val="none" w:sz="0" w:space="0" w:color="auto"/>
        <w:right w:val="none" w:sz="0" w:space="0" w:color="auto"/>
      </w:divBdr>
    </w:div>
    <w:div w:id="1629358145">
      <w:marLeft w:val="0"/>
      <w:marRight w:val="0"/>
      <w:marTop w:val="0"/>
      <w:marBottom w:val="0"/>
      <w:divBdr>
        <w:top w:val="none" w:sz="0" w:space="0" w:color="auto"/>
        <w:left w:val="none" w:sz="0" w:space="0" w:color="auto"/>
        <w:bottom w:val="none" w:sz="0" w:space="0" w:color="auto"/>
        <w:right w:val="none" w:sz="0" w:space="0" w:color="auto"/>
      </w:divBdr>
    </w:div>
    <w:div w:id="1629361188">
      <w:marLeft w:val="0"/>
      <w:marRight w:val="0"/>
      <w:marTop w:val="0"/>
      <w:marBottom w:val="0"/>
      <w:divBdr>
        <w:top w:val="none" w:sz="0" w:space="0" w:color="auto"/>
        <w:left w:val="none" w:sz="0" w:space="0" w:color="auto"/>
        <w:bottom w:val="none" w:sz="0" w:space="0" w:color="auto"/>
        <w:right w:val="none" w:sz="0" w:space="0" w:color="auto"/>
      </w:divBdr>
    </w:div>
    <w:div w:id="1634403640">
      <w:marLeft w:val="0"/>
      <w:marRight w:val="0"/>
      <w:marTop w:val="0"/>
      <w:marBottom w:val="0"/>
      <w:divBdr>
        <w:top w:val="none" w:sz="0" w:space="0" w:color="auto"/>
        <w:left w:val="none" w:sz="0" w:space="0" w:color="auto"/>
        <w:bottom w:val="none" w:sz="0" w:space="0" w:color="auto"/>
        <w:right w:val="none" w:sz="0" w:space="0" w:color="auto"/>
      </w:divBdr>
    </w:div>
    <w:div w:id="1637183407">
      <w:marLeft w:val="0"/>
      <w:marRight w:val="0"/>
      <w:marTop w:val="0"/>
      <w:marBottom w:val="0"/>
      <w:divBdr>
        <w:top w:val="none" w:sz="0" w:space="0" w:color="auto"/>
        <w:left w:val="none" w:sz="0" w:space="0" w:color="auto"/>
        <w:bottom w:val="none" w:sz="0" w:space="0" w:color="auto"/>
        <w:right w:val="none" w:sz="0" w:space="0" w:color="auto"/>
      </w:divBdr>
    </w:div>
    <w:div w:id="1638414458">
      <w:marLeft w:val="0"/>
      <w:marRight w:val="0"/>
      <w:marTop w:val="0"/>
      <w:marBottom w:val="0"/>
      <w:divBdr>
        <w:top w:val="none" w:sz="0" w:space="0" w:color="auto"/>
        <w:left w:val="none" w:sz="0" w:space="0" w:color="auto"/>
        <w:bottom w:val="none" w:sz="0" w:space="0" w:color="auto"/>
        <w:right w:val="none" w:sz="0" w:space="0" w:color="auto"/>
      </w:divBdr>
    </w:div>
    <w:div w:id="1640769839">
      <w:marLeft w:val="0"/>
      <w:marRight w:val="0"/>
      <w:marTop w:val="0"/>
      <w:marBottom w:val="0"/>
      <w:divBdr>
        <w:top w:val="none" w:sz="0" w:space="0" w:color="auto"/>
        <w:left w:val="none" w:sz="0" w:space="0" w:color="auto"/>
        <w:bottom w:val="none" w:sz="0" w:space="0" w:color="auto"/>
        <w:right w:val="none" w:sz="0" w:space="0" w:color="auto"/>
      </w:divBdr>
    </w:div>
    <w:div w:id="1647466440">
      <w:marLeft w:val="0"/>
      <w:marRight w:val="0"/>
      <w:marTop w:val="0"/>
      <w:marBottom w:val="0"/>
      <w:divBdr>
        <w:top w:val="none" w:sz="0" w:space="0" w:color="auto"/>
        <w:left w:val="none" w:sz="0" w:space="0" w:color="auto"/>
        <w:bottom w:val="none" w:sz="0" w:space="0" w:color="auto"/>
        <w:right w:val="none" w:sz="0" w:space="0" w:color="auto"/>
      </w:divBdr>
    </w:div>
    <w:div w:id="1647857659">
      <w:marLeft w:val="0"/>
      <w:marRight w:val="0"/>
      <w:marTop w:val="0"/>
      <w:marBottom w:val="0"/>
      <w:divBdr>
        <w:top w:val="none" w:sz="0" w:space="0" w:color="auto"/>
        <w:left w:val="none" w:sz="0" w:space="0" w:color="auto"/>
        <w:bottom w:val="none" w:sz="0" w:space="0" w:color="auto"/>
        <w:right w:val="none" w:sz="0" w:space="0" w:color="auto"/>
      </w:divBdr>
    </w:div>
    <w:div w:id="1655329407">
      <w:marLeft w:val="0"/>
      <w:marRight w:val="0"/>
      <w:marTop w:val="0"/>
      <w:marBottom w:val="0"/>
      <w:divBdr>
        <w:top w:val="none" w:sz="0" w:space="0" w:color="auto"/>
        <w:left w:val="none" w:sz="0" w:space="0" w:color="auto"/>
        <w:bottom w:val="none" w:sz="0" w:space="0" w:color="auto"/>
        <w:right w:val="none" w:sz="0" w:space="0" w:color="auto"/>
      </w:divBdr>
    </w:div>
    <w:div w:id="1659655637">
      <w:marLeft w:val="0"/>
      <w:marRight w:val="0"/>
      <w:marTop w:val="0"/>
      <w:marBottom w:val="0"/>
      <w:divBdr>
        <w:top w:val="none" w:sz="0" w:space="0" w:color="auto"/>
        <w:left w:val="none" w:sz="0" w:space="0" w:color="auto"/>
        <w:bottom w:val="none" w:sz="0" w:space="0" w:color="auto"/>
        <w:right w:val="none" w:sz="0" w:space="0" w:color="auto"/>
      </w:divBdr>
    </w:div>
    <w:div w:id="1678340342">
      <w:marLeft w:val="0"/>
      <w:marRight w:val="0"/>
      <w:marTop w:val="0"/>
      <w:marBottom w:val="0"/>
      <w:divBdr>
        <w:top w:val="none" w:sz="0" w:space="0" w:color="auto"/>
        <w:left w:val="none" w:sz="0" w:space="0" w:color="auto"/>
        <w:bottom w:val="none" w:sz="0" w:space="0" w:color="auto"/>
        <w:right w:val="none" w:sz="0" w:space="0" w:color="auto"/>
      </w:divBdr>
    </w:div>
    <w:div w:id="1702171036">
      <w:marLeft w:val="0"/>
      <w:marRight w:val="0"/>
      <w:marTop w:val="0"/>
      <w:marBottom w:val="0"/>
      <w:divBdr>
        <w:top w:val="none" w:sz="0" w:space="0" w:color="auto"/>
        <w:left w:val="none" w:sz="0" w:space="0" w:color="auto"/>
        <w:bottom w:val="none" w:sz="0" w:space="0" w:color="auto"/>
        <w:right w:val="none" w:sz="0" w:space="0" w:color="auto"/>
      </w:divBdr>
    </w:div>
    <w:div w:id="1705405744">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
    <w:div w:id="1730373131">
      <w:marLeft w:val="0"/>
      <w:marRight w:val="0"/>
      <w:marTop w:val="0"/>
      <w:marBottom w:val="0"/>
      <w:divBdr>
        <w:top w:val="none" w:sz="0" w:space="0" w:color="auto"/>
        <w:left w:val="none" w:sz="0" w:space="0" w:color="auto"/>
        <w:bottom w:val="none" w:sz="0" w:space="0" w:color="auto"/>
        <w:right w:val="none" w:sz="0" w:space="0" w:color="auto"/>
      </w:divBdr>
    </w:div>
    <w:div w:id="1732069882">
      <w:marLeft w:val="0"/>
      <w:marRight w:val="0"/>
      <w:marTop w:val="0"/>
      <w:marBottom w:val="0"/>
      <w:divBdr>
        <w:top w:val="none" w:sz="0" w:space="0" w:color="auto"/>
        <w:left w:val="none" w:sz="0" w:space="0" w:color="auto"/>
        <w:bottom w:val="none" w:sz="0" w:space="0" w:color="auto"/>
        <w:right w:val="none" w:sz="0" w:space="0" w:color="auto"/>
      </w:divBdr>
    </w:div>
    <w:div w:id="1738547720">
      <w:marLeft w:val="0"/>
      <w:marRight w:val="0"/>
      <w:marTop w:val="0"/>
      <w:marBottom w:val="0"/>
      <w:divBdr>
        <w:top w:val="none" w:sz="0" w:space="0" w:color="auto"/>
        <w:left w:val="none" w:sz="0" w:space="0" w:color="auto"/>
        <w:bottom w:val="none" w:sz="0" w:space="0" w:color="auto"/>
        <w:right w:val="none" w:sz="0" w:space="0" w:color="auto"/>
      </w:divBdr>
    </w:div>
    <w:div w:id="1749843473">
      <w:marLeft w:val="0"/>
      <w:marRight w:val="0"/>
      <w:marTop w:val="0"/>
      <w:marBottom w:val="0"/>
      <w:divBdr>
        <w:top w:val="none" w:sz="0" w:space="0" w:color="auto"/>
        <w:left w:val="none" w:sz="0" w:space="0" w:color="auto"/>
        <w:bottom w:val="none" w:sz="0" w:space="0" w:color="auto"/>
        <w:right w:val="none" w:sz="0" w:space="0" w:color="auto"/>
      </w:divBdr>
    </w:div>
    <w:div w:id="1753316297">
      <w:marLeft w:val="0"/>
      <w:marRight w:val="0"/>
      <w:marTop w:val="0"/>
      <w:marBottom w:val="0"/>
      <w:divBdr>
        <w:top w:val="none" w:sz="0" w:space="0" w:color="auto"/>
        <w:left w:val="none" w:sz="0" w:space="0" w:color="auto"/>
        <w:bottom w:val="none" w:sz="0" w:space="0" w:color="auto"/>
        <w:right w:val="none" w:sz="0" w:space="0" w:color="auto"/>
      </w:divBdr>
    </w:div>
    <w:div w:id="1754281235">
      <w:marLeft w:val="0"/>
      <w:marRight w:val="0"/>
      <w:marTop w:val="0"/>
      <w:marBottom w:val="0"/>
      <w:divBdr>
        <w:top w:val="none" w:sz="0" w:space="0" w:color="auto"/>
        <w:left w:val="none" w:sz="0" w:space="0" w:color="auto"/>
        <w:bottom w:val="none" w:sz="0" w:space="0" w:color="auto"/>
        <w:right w:val="none" w:sz="0" w:space="0" w:color="auto"/>
      </w:divBdr>
    </w:div>
    <w:div w:id="1761681786">
      <w:marLeft w:val="0"/>
      <w:marRight w:val="0"/>
      <w:marTop w:val="0"/>
      <w:marBottom w:val="0"/>
      <w:divBdr>
        <w:top w:val="none" w:sz="0" w:space="0" w:color="auto"/>
        <w:left w:val="none" w:sz="0" w:space="0" w:color="auto"/>
        <w:bottom w:val="none" w:sz="0" w:space="0" w:color="auto"/>
        <w:right w:val="none" w:sz="0" w:space="0" w:color="auto"/>
      </w:divBdr>
    </w:div>
    <w:div w:id="1773013459">
      <w:marLeft w:val="0"/>
      <w:marRight w:val="0"/>
      <w:marTop w:val="0"/>
      <w:marBottom w:val="0"/>
      <w:divBdr>
        <w:top w:val="none" w:sz="0" w:space="0" w:color="auto"/>
        <w:left w:val="none" w:sz="0" w:space="0" w:color="auto"/>
        <w:bottom w:val="none" w:sz="0" w:space="0" w:color="auto"/>
        <w:right w:val="none" w:sz="0" w:space="0" w:color="auto"/>
      </w:divBdr>
    </w:div>
    <w:div w:id="1774014119">
      <w:marLeft w:val="0"/>
      <w:marRight w:val="0"/>
      <w:marTop w:val="0"/>
      <w:marBottom w:val="0"/>
      <w:divBdr>
        <w:top w:val="none" w:sz="0" w:space="0" w:color="auto"/>
        <w:left w:val="none" w:sz="0" w:space="0" w:color="auto"/>
        <w:bottom w:val="none" w:sz="0" w:space="0" w:color="auto"/>
        <w:right w:val="none" w:sz="0" w:space="0" w:color="auto"/>
      </w:divBdr>
    </w:div>
    <w:div w:id="1779373829">
      <w:marLeft w:val="0"/>
      <w:marRight w:val="0"/>
      <w:marTop w:val="0"/>
      <w:marBottom w:val="0"/>
      <w:divBdr>
        <w:top w:val="none" w:sz="0" w:space="0" w:color="auto"/>
        <w:left w:val="none" w:sz="0" w:space="0" w:color="auto"/>
        <w:bottom w:val="none" w:sz="0" w:space="0" w:color="auto"/>
        <w:right w:val="none" w:sz="0" w:space="0" w:color="auto"/>
      </w:divBdr>
    </w:div>
    <w:div w:id="1787651359">
      <w:marLeft w:val="0"/>
      <w:marRight w:val="0"/>
      <w:marTop w:val="0"/>
      <w:marBottom w:val="0"/>
      <w:divBdr>
        <w:top w:val="none" w:sz="0" w:space="0" w:color="auto"/>
        <w:left w:val="none" w:sz="0" w:space="0" w:color="auto"/>
        <w:bottom w:val="none" w:sz="0" w:space="0" w:color="auto"/>
        <w:right w:val="none" w:sz="0" w:space="0" w:color="auto"/>
      </w:divBdr>
    </w:div>
    <w:div w:id="1792627919">
      <w:marLeft w:val="0"/>
      <w:marRight w:val="0"/>
      <w:marTop w:val="0"/>
      <w:marBottom w:val="0"/>
      <w:divBdr>
        <w:top w:val="none" w:sz="0" w:space="0" w:color="auto"/>
        <w:left w:val="none" w:sz="0" w:space="0" w:color="auto"/>
        <w:bottom w:val="none" w:sz="0" w:space="0" w:color="auto"/>
        <w:right w:val="none" w:sz="0" w:space="0" w:color="auto"/>
      </w:divBdr>
    </w:div>
    <w:div w:id="1804811331">
      <w:marLeft w:val="0"/>
      <w:marRight w:val="0"/>
      <w:marTop w:val="0"/>
      <w:marBottom w:val="0"/>
      <w:divBdr>
        <w:top w:val="none" w:sz="0" w:space="0" w:color="auto"/>
        <w:left w:val="none" w:sz="0" w:space="0" w:color="auto"/>
        <w:bottom w:val="none" w:sz="0" w:space="0" w:color="auto"/>
        <w:right w:val="none" w:sz="0" w:space="0" w:color="auto"/>
      </w:divBdr>
    </w:div>
    <w:div w:id="1805848166">
      <w:marLeft w:val="0"/>
      <w:marRight w:val="0"/>
      <w:marTop w:val="0"/>
      <w:marBottom w:val="0"/>
      <w:divBdr>
        <w:top w:val="none" w:sz="0" w:space="0" w:color="auto"/>
        <w:left w:val="none" w:sz="0" w:space="0" w:color="auto"/>
        <w:bottom w:val="none" w:sz="0" w:space="0" w:color="auto"/>
        <w:right w:val="none" w:sz="0" w:space="0" w:color="auto"/>
      </w:divBdr>
    </w:div>
    <w:div w:id="1810123591">
      <w:marLeft w:val="0"/>
      <w:marRight w:val="0"/>
      <w:marTop w:val="0"/>
      <w:marBottom w:val="0"/>
      <w:divBdr>
        <w:top w:val="none" w:sz="0" w:space="0" w:color="auto"/>
        <w:left w:val="none" w:sz="0" w:space="0" w:color="auto"/>
        <w:bottom w:val="none" w:sz="0" w:space="0" w:color="auto"/>
        <w:right w:val="none" w:sz="0" w:space="0" w:color="auto"/>
      </w:divBdr>
    </w:div>
    <w:div w:id="1830709744">
      <w:marLeft w:val="0"/>
      <w:marRight w:val="0"/>
      <w:marTop w:val="0"/>
      <w:marBottom w:val="0"/>
      <w:divBdr>
        <w:top w:val="none" w:sz="0" w:space="0" w:color="auto"/>
        <w:left w:val="none" w:sz="0" w:space="0" w:color="auto"/>
        <w:bottom w:val="none" w:sz="0" w:space="0" w:color="auto"/>
        <w:right w:val="none" w:sz="0" w:space="0" w:color="auto"/>
      </w:divBdr>
    </w:div>
    <w:div w:id="1830749185">
      <w:marLeft w:val="0"/>
      <w:marRight w:val="0"/>
      <w:marTop w:val="0"/>
      <w:marBottom w:val="0"/>
      <w:divBdr>
        <w:top w:val="none" w:sz="0" w:space="0" w:color="auto"/>
        <w:left w:val="none" w:sz="0" w:space="0" w:color="auto"/>
        <w:bottom w:val="none" w:sz="0" w:space="0" w:color="auto"/>
        <w:right w:val="none" w:sz="0" w:space="0" w:color="auto"/>
      </w:divBdr>
    </w:div>
    <w:div w:id="1853569355">
      <w:marLeft w:val="0"/>
      <w:marRight w:val="0"/>
      <w:marTop w:val="0"/>
      <w:marBottom w:val="0"/>
      <w:divBdr>
        <w:top w:val="none" w:sz="0" w:space="0" w:color="auto"/>
        <w:left w:val="none" w:sz="0" w:space="0" w:color="auto"/>
        <w:bottom w:val="none" w:sz="0" w:space="0" w:color="auto"/>
        <w:right w:val="none" w:sz="0" w:space="0" w:color="auto"/>
      </w:divBdr>
    </w:div>
    <w:div w:id="1861620334">
      <w:marLeft w:val="0"/>
      <w:marRight w:val="0"/>
      <w:marTop w:val="0"/>
      <w:marBottom w:val="0"/>
      <w:divBdr>
        <w:top w:val="none" w:sz="0" w:space="0" w:color="auto"/>
        <w:left w:val="none" w:sz="0" w:space="0" w:color="auto"/>
        <w:bottom w:val="none" w:sz="0" w:space="0" w:color="auto"/>
        <w:right w:val="none" w:sz="0" w:space="0" w:color="auto"/>
      </w:divBdr>
    </w:div>
    <w:div w:id="1868831780">
      <w:marLeft w:val="0"/>
      <w:marRight w:val="0"/>
      <w:marTop w:val="0"/>
      <w:marBottom w:val="0"/>
      <w:divBdr>
        <w:top w:val="none" w:sz="0" w:space="0" w:color="auto"/>
        <w:left w:val="none" w:sz="0" w:space="0" w:color="auto"/>
        <w:bottom w:val="none" w:sz="0" w:space="0" w:color="auto"/>
        <w:right w:val="none" w:sz="0" w:space="0" w:color="auto"/>
      </w:divBdr>
    </w:div>
    <w:div w:id="1882353963">
      <w:marLeft w:val="0"/>
      <w:marRight w:val="0"/>
      <w:marTop w:val="0"/>
      <w:marBottom w:val="0"/>
      <w:divBdr>
        <w:top w:val="none" w:sz="0" w:space="0" w:color="auto"/>
        <w:left w:val="none" w:sz="0" w:space="0" w:color="auto"/>
        <w:bottom w:val="none" w:sz="0" w:space="0" w:color="auto"/>
        <w:right w:val="none" w:sz="0" w:space="0" w:color="auto"/>
      </w:divBdr>
    </w:div>
    <w:div w:id="1888644562">
      <w:marLeft w:val="0"/>
      <w:marRight w:val="0"/>
      <w:marTop w:val="0"/>
      <w:marBottom w:val="0"/>
      <w:divBdr>
        <w:top w:val="none" w:sz="0" w:space="0" w:color="auto"/>
        <w:left w:val="none" w:sz="0" w:space="0" w:color="auto"/>
        <w:bottom w:val="none" w:sz="0" w:space="0" w:color="auto"/>
        <w:right w:val="none" w:sz="0" w:space="0" w:color="auto"/>
      </w:divBdr>
    </w:div>
    <w:div w:id="1892421102">
      <w:marLeft w:val="0"/>
      <w:marRight w:val="0"/>
      <w:marTop w:val="0"/>
      <w:marBottom w:val="0"/>
      <w:divBdr>
        <w:top w:val="none" w:sz="0" w:space="0" w:color="auto"/>
        <w:left w:val="none" w:sz="0" w:space="0" w:color="auto"/>
        <w:bottom w:val="none" w:sz="0" w:space="0" w:color="auto"/>
        <w:right w:val="none" w:sz="0" w:space="0" w:color="auto"/>
      </w:divBdr>
    </w:div>
    <w:div w:id="1918828806">
      <w:marLeft w:val="0"/>
      <w:marRight w:val="0"/>
      <w:marTop w:val="0"/>
      <w:marBottom w:val="0"/>
      <w:divBdr>
        <w:top w:val="none" w:sz="0" w:space="0" w:color="auto"/>
        <w:left w:val="none" w:sz="0" w:space="0" w:color="auto"/>
        <w:bottom w:val="none" w:sz="0" w:space="0" w:color="auto"/>
        <w:right w:val="none" w:sz="0" w:space="0" w:color="auto"/>
      </w:divBdr>
    </w:div>
    <w:div w:id="1919287999">
      <w:marLeft w:val="0"/>
      <w:marRight w:val="0"/>
      <w:marTop w:val="0"/>
      <w:marBottom w:val="0"/>
      <w:divBdr>
        <w:top w:val="none" w:sz="0" w:space="0" w:color="auto"/>
        <w:left w:val="none" w:sz="0" w:space="0" w:color="auto"/>
        <w:bottom w:val="none" w:sz="0" w:space="0" w:color="auto"/>
        <w:right w:val="none" w:sz="0" w:space="0" w:color="auto"/>
      </w:divBdr>
    </w:div>
    <w:div w:id="1936401605">
      <w:marLeft w:val="0"/>
      <w:marRight w:val="0"/>
      <w:marTop w:val="0"/>
      <w:marBottom w:val="0"/>
      <w:divBdr>
        <w:top w:val="none" w:sz="0" w:space="0" w:color="auto"/>
        <w:left w:val="none" w:sz="0" w:space="0" w:color="auto"/>
        <w:bottom w:val="none" w:sz="0" w:space="0" w:color="auto"/>
        <w:right w:val="none" w:sz="0" w:space="0" w:color="auto"/>
      </w:divBdr>
    </w:div>
    <w:div w:id="1946691643">
      <w:marLeft w:val="0"/>
      <w:marRight w:val="0"/>
      <w:marTop w:val="0"/>
      <w:marBottom w:val="0"/>
      <w:divBdr>
        <w:top w:val="none" w:sz="0" w:space="0" w:color="auto"/>
        <w:left w:val="none" w:sz="0" w:space="0" w:color="auto"/>
        <w:bottom w:val="none" w:sz="0" w:space="0" w:color="auto"/>
        <w:right w:val="none" w:sz="0" w:space="0" w:color="auto"/>
      </w:divBdr>
    </w:div>
    <w:div w:id="1953200903">
      <w:marLeft w:val="0"/>
      <w:marRight w:val="0"/>
      <w:marTop w:val="0"/>
      <w:marBottom w:val="0"/>
      <w:divBdr>
        <w:top w:val="none" w:sz="0" w:space="0" w:color="auto"/>
        <w:left w:val="none" w:sz="0" w:space="0" w:color="auto"/>
        <w:bottom w:val="none" w:sz="0" w:space="0" w:color="auto"/>
        <w:right w:val="none" w:sz="0" w:space="0" w:color="auto"/>
      </w:divBdr>
    </w:div>
    <w:div w:id="1953396425">
      <w:marLeft w:val="0"/>
      <w:marRight w:val="0"/>
      <w:marTop w:val="0"/>
      <w:marBottom w:val="0"/>
      <w:divBdr>
        <w:top w:val="none" w:sz="0" w:space="0" w:color="auto"/>
        <w:left w:val="none" w:sz="0" w:space="0" w:color="auto"/>
        <w:bottom w:val="none" w:sz="0" w:space="0" w:color="auto"/>
        <w:right w:val="none" w:sz="0" w:space="0" w:color="auto"/>
      </w:divBdr>
    </w:div>
    <w:div w:id="1953971494">
      <w:marLeft w:val="0"/>
      <w:marRight w:val="0"/>
      <w:marTop w:val="0"/>
      <w:marBottom w:val="0"/>
      <w:divBdr>
        <w:top w:val="none" w:sz="0" w:space="0" w:color="auto"/>
        <w:left w:val="none" w:sz="0" w:space="0" w:color="auto"/>
        <w:bottom w:val="none" w:sz="0" w:space="0" w:color="auto"/>
        <w:right w:val="none" w:sz="0" w:space="0" w:color="auto"/>
      </w:divBdr>
    </w:div>
    <w:div w:id="1954054061">
      <w:marLeft w:val="0"/>
      <w:marRight w:val="0"/>
      <w:marTop w:val="0"/>
      <w:marBottom w:val="0"/>
      <w:divBdr>
        <w:top w:val="none" w:sz="0" w:space="0" w:color="auto"/>
        <w:left w:val="none" w:sz="0" w:space="0" w:color="auto"/>
        <w:bottom w:val="none" w:sz="0" w:space="0" w:color="auto"/>
        <w:right w:val="none" w:sz="0" w:space="0" w:color="auto"/>
      </w:divBdr>
    </w:div>
    <w:div w:id="1954507663">
      <w:marLeft w:val="0"/>
      <w:marRight w:val="0"/>
      <w:marTop w:val="0"/>
      <w:marBottom w:val="0"/>
      <w:divBdr>
        <w:top w:val="none" w:sz="0" w:space="0" w:color="auto"/>
        <w:left w:val="none" w:sz="0" w:space="0" w:color="auto"/>
        <w:bottom w:val="none" w:sz="0" w:space="0" w:color="auto"/>
        <w:right w:val="none" w:sz="0" w:space="0" w:color="auto"/>
      </w:divBdr>
    </w:div>
    <w:div w:id="1956131527">
      <w:marLeft w:val="0"/>
      <w:marRight w:val="0"/>
      <w:marTop w:val="0"/>
      <w:marBottom w:val="0"/>
      <w:divBdr>
        <w:top w:val="none" w:sz="0" w:space="0" w:color="auto"/>
        <w:left w:val="none" w:sz="0" w:space="0" w:color="auto"/>
        <w:bottom w:val="none" w:sz="0" w:space="0" w:color="auto"/>
        <w:right w:val="none" w:sz="0" w:space="0" w:color="auto"/>
      </w:divBdr>
    </w:div>
    <w:div w:id="1957370142">
      <w:marLeft w:val="0"/>
      <w:marRight w:val="0"/>
      <w:marTop w:val="0"/>
      <w:marBottom w:val="0"/>
      <w:divBdr>
        <w:top w:val="none" w:sz="0" w:space="0" w:color="auto"/>
        <w:left w:val="none" w:sz="0" w:space="0" w:color="auto"/>
        <w:bottom w:val="none" w:sz="0" w:space="0" w:color="auto"/>
        <w:right w:val="none" w:sz="0" w:space="0" w:color="auto"/>
      </w:divBdr>
    </w:div>
    <w:div w:id="1965579800">
      <w:marLeft w:val="0"/>
      <w:marRight w:val="0"/>
      <w:marTop w:val="0"/>
      <w:marBottom w:val="0"/>
      <w:divBdr>
        <w:top w:val="none" w:sz="0" w:space="0" w:color="auto"/>
        <w:left w:val="none" w:sz="0" w:space="0" w:color="auto"/>
        <w:bottom w:val="none" w:sz="0" w:space="0" w:color="auto"/>
        <w:right w:val="none" w:sz="0" w:space="0" w:color="auto"/>
      </w:divBdr>
    </w:div>
    <w:div w:id="1973556279">
      <w:marLeft w:val="0"/>
      <w:marRight w:val="0"/>
      <w:marTop w:val="0"/>
      <w:marBottom w:val="0"/>
      <w:divBdr>
        <w:top w:val="none" w:sz="0" w:space="0" w:color="auto"/>
        <w:left w:val="none" w:sz="0" w:space="0" w:color="auto"/>
        <w:bottom w:val="none" w:sz="0" w:space="0" w:color="auto"/>
        <w:right w:val="none" w:sz="0" w:space="0" w:color="auto"/>
      </w:divBdr>
    </w:div>
    <w:div w:id="1974604323">
      <w:marLeft w:val="0"/>
      <w:marRight w:val="0"/>
      <w:marTop w:val="0"/>
      <w:marBottom w:val="0"/>
      <w:divBdr>
        <w:top w:val="none" w:sz="0" w:space="0" w:color="auto"/>
        <w:left w:val="none" w:sz="0" w:space="0" w:color="auto"/>
        <w:bottom w:val="none" w:sz="0" w:space="0" w:color="auto"/>
        <w:right w:val="none" w:sz="0" w:space="0" w:color="auto"/>
      </w:divBdr>
    </w:div>
    <w:div w:id="1984576215">
      <w:marLeft w:val="0"/>
      <w:marRight w:val="0"/>
      <w:marTop w:val="0"/>
      <w:marBottom w:val="0"/>
      <w:divBdr>
        <w:top w:val="none" w:sz="0" w:space="0" w:color="auto"/>
        <w:left w:val="none" w:sz="0" w:space="0" w:color="auto"/>
        <w:bottom w:val="none" w:sz="0" w:space="0" w:color="auto"/>
        <w:right w:val="none" w:sz="0" w:space="0" w:color="auto"/>
      </w:divBdr>
    </w:div>
    <w:div w:id="1986154873">
      <w:marLeft w:val="0"/>
      <w:marRight w:val="0"/>
      <w:marTop w:val="0"/>
      <w:marBottom w:val="0"/>
      <w:divBdr>
        <w:top w:val="none" w:sz="0" w:space="0" w:color="auto"/>
        <w:left w:val="none" w:sz="0" w:space="0" w:color="auto"/>
        <w:bottom w:val="none" w:sz="0" w:space="0" w:color="auto"/>
        <w:right w:val="none" w:sz="0" w:space="0" w:color="auto"/>
      </w:divBdr>
    </w:div>
    <w:div w:id="1995379278">
      <w:marLeft w:val="0"/>
      <w:marRight w:val="0"/>
      <w:marTop w:val="0"/>
      <w:marBottom w:val="0"/>
      <w:divBdr>
        <w:top w:val="none" w:sz="0" w:space="0" w:color="auto"/>
        <w:left w:val="none" w:sz="0" w:space="0" w:color="auto"/>
        <w:bottom w:val="none" w:sz="0" w:space="0" w:color="auto"/>
        <w:right w:val="none" w:sz="0" w:space="0" w:color="auto"/>
      </w:divBdr>
    </w:div>
    <w:div w:id="2004746626">
      <w:marLeft w:val="0"/>
      <w:marRight w:val="0"/>
      <w:marTop w:val="0"/>
      <w:marBottom w:val="0"/>
      <w:divBdr>
        <w:top w:val="none" w:sz="0" w:space="0" w:color="auto"/>
        <w:left w:val="none" w:sz="0" w:space="0" w:color="auto"/>
        <w:bottom w:val="none" w:sz="0" w:space="0" w:color="auto"/>
        <w:right w:val="none" w:sz="0" w:space="0" w:color="auto"/>
      </w:divBdr>
    </w:div>
    <w:div w:id="2013802152">
      <w:marLeft w:val="0"/>
      <w:marRight w:val="0"/>
      <w:marTop w:val="0"/>
      <w:marBottom w:val="0"/>
      <w:divBdr>
        <w:top w:val="none" w:sz="0" w:space="0" w:color="auto"/>
        <w:left w:val="none" w:sz="0" w:space="0" w:color="auto"/>
        <w:bottom w:val="none" w:sz="0" w:space="0" w:color="auto"/>
        <w:right w:val="none" w:sz="0" w:space="0" w:color="auto"/>
      </w:divBdr>
    </w:div>
    <w:div w:id="2013874640">
      <w:marLeft w:val="0"/>
      <w:marRight w:val="0"/>
      <w:marTop w:val="0"/>
      <w:marBottom w:val="0"/>
      <w:divBdr>
        <w:top w:val="none" w:sz="0" w:space="0" w:color="auto"/>
        <w:left w:val="none" w:sz="0" w:space="0" w:color="auto"/>
        <w:bottom w:val="none" w:sz="0" w:space="0" w:color="auto"/>
        <w:right w:val="none" w:sz="0" w:space="0" w:color="auto"/>
      </w:divBdr>
    </w:div>
    <w:div w:id="2015374907">
      <w:marLeft w:val="0"/>
      <w:marRight w:val="0"/>
      <w:marTop w:val="0"/>
      <w:marBottom w:val="0"/>
      <w:divBdr>
        <w:top w:val="none" w:sz="0" w:space="0" w:color="auto"/>
        <w:left w:val="none" w:sz="0" w:space="0" w:color="auto"/>
        <w:bottom w:val="none" w:sz="0" w:space="0" w:color="auto"/>
        <w:right w:val="none" w:sz="0" w:space="0" w:color="auto"/>
      </w:divBdr>
    </w:div>
    <w:div w:id="2015955903">
      <w:marLeft w:val="0"/>
      <w:marRight w:val="0"/>
      <w:marTop w:val="0"/>
      <w:marBottom w:val="0"/>
      <w:divBdr>
        <w:top w:val="none" w:sz="0" w:space="0" w:color="auto"/>
        <w:left w:val="none" w:sz="0" w:space="0" w:color="auto"/>
        <w:bottom w:val="none" w:sz="0" w:space="0" w:color="auto"/>
        <w:right w:val="none" w:sz="0" w:space="0" w:color="auto"/>
      </w:divBdr>
    </w:div>
    <w:div w:id="2020160245">
      <w:marLeft w:val="0"/>
      <w:marRight w:val="0"/>
      <w:marTop w:val="0"/>
      <w:marBottom w:val="0"/>
      <w:divBdr>
        <w:top w:val="none" w:sz="0" w:space="0" w:color="auto"/>
        <w:left w:val="none" w:sz="0" w:space="0" w:color="auto"/>
        <w:bottom w:val="none" w:sz="0" w:space="0" w:color="auto"/>
        <w:right w:val="none" w:sz="0" w:space="0" w:color="auto"/>
      </w:divBdr>
    </w:div>
    <w:div w:id="2051299206">
      <w:marLeft w:val="0"/>
      <w:marRight w:val="0"/>
      <w:marTop w:val="0"/>
      <w:marBottom w:val="0"/>
      <w:divBdr>
        <w:top w:val="none" w:sz="0" w:space="0" w:color="auto"/>
        <w:left w:val="none" w:sz="0" w:space="0" w:color="auto"/>
        <w:bottom w:val="none" w:sz="0" w:space="0" w:color="auto"/>
        <w:right w:val="none" w:sz="0" w:space="0" w:color="auto"/>
      </w:divBdr>
    </w:div>
    <w:div w:id="2052261474">
      <w:marLeft w:val="0"/>
      <w:marRight w:val="0"/>
      <w:marTop w:val="0"/>
      <w:marBottom w:val="0"/>
      <w:divBdr>
        <w:top w:val="none" w:sz="0" w:space="0" w:color="auto"/>
        <w:left w:val="none" w:sz="0" w:space="0" w:color="auto"/>
        <w:bottom w:val="none" w:sz="0" w:space="0" w:color="auto"/>
        <w:right w:val="none" w:sz="0" w:space="0" w:color="auto"/>
      </w:divBdr>
    </w:div>
    <w:div w:id="2054693954">
      <w:marLeft w:val="0"/>
      <w:marRight w:val="0"/>
      <w:marTop w:val="0"/>
      <w:marBottom w:val="0"/>
      <w:divBdr>
        <w:top w:val="none" w:sz="0" w:space="0" w:color="auto"/>
        <w:left w:val="none" w:sz="0" w:space="0" w:color="auto"/>
        <w:bottom w:val="none" w:sz="0" w:space="0" w:color="auto"/>
        <w:right w:val="none" w:sz="0" w:space="0" w:color="auto"/>
      </w:divBdr>
    </w:div>
    <w:div w:id="2056734538">
      <w:marLeft w:val="0"/>
      <w:marRight w:val="0"/>
      <w:marTop w:val="0"/>
      <w:marBottom w:val="0"/>
      <w:divBdr>
        <w:top w:val="none" w:sz="0" w:space="0" w:color="auto"/>
        <w:left w:val="none" w:sz="0" w:space="0" w:color="auto"/>
        <w:bottom w:val="none" w:sz="0" w:space="0" w:color="auto"/>
        <w:right w:val="none" w:sz="0" w:space="0" w:color="auto"/>
      </w:divBdr>
    </w:div>
    <w:div w:id="2060207895">
      <w:marLeft w:val="0"/>
      <w:marRight w:val="0"/>
      <w:marTop w:val="0"/>
      <w:marBottom w:val="0"/>
      <w:divBdr>
        <w:top w:val="none" w:sz="0" w:space="0" w:color="auto"/>
        <w:left w:val="none" w:sz="0" w:space="0" w:color="auto"/>
        <w:bottom w:val="none" w:sz="0" w:space="0" w:color="auto"/>
        <w:right w:val="none" w:sz="0" w:space="0" w:color="auto"/>
      </w:divBdr>
    </w:div>
    <w:div w:id="2067147502">
      <w:marLeft w:val="0"/>
      <w:marRight w:val="0"/>
      <w:marTop w:val="0"/>
      <w:marBottom w:val="0"/>
      <w:divBdr>
        <w:top w:val="none" w:sz="0" w:space="0" w:color="auto"/>
        <w:left w:val="none" w:sz="0" w:space="0" w:color="auto"/>
        <w:bottom w:val="none" w:sz="0" w:space="0" w:color="auto"/>
        <w:right w:val="none" w:sz="0" w:space="0" w:color="auto"/>
      </w:divBdr>
    </w:div>
    <w:div w:id="2087800273">
      <w:marLeft w:val="0"/>
      <w:marRight w:val="0"/>
      <w:marTop w:val="0"/>
      <w:marBottom w:val="0"/>
      <w:divBdr>
        <w:top w:val="none" w:sz="0" w:space="0" w:color="auto"/>
        <w:left w:val="none" w:sz="0" w:space="0" w:color="auto"/>
        <w:bottom w:val="none" w:sz="0" w:space="0" w:color="auto"/>
        <w:right w:val="none" w:sz="0" w:space="0" w:color="auto"/>
      </w:divBdr>
    </w:div>
    <w:div w:id="2105803102">
      <w:marLeft w:val="0"/>
      <w:marRight w:val="0"/>
      <w:marTop w:val="0"/>
      <w:marBottom w:val="0"/>
      <w:divBdr>
        <w:top w:val="none" w:sz="0" w:space="0" w:color="auto"/>
        <w:left w:val="none" w:sz="0" w:space="0" w:color="auto"/>
        <w:bottom w:val="none" w:sz="0" w:space="0" w:color="auto"/>
        <w:right w:val="none" w:sz="0" w:space="0" w:color="auto"/>
      </w:divBdr>
    </w:div>
    <w:div w:id="2117825573">
      <w:marLeft w:val="0"/>
      <w:marRight w:val="0"/>
      <w:marTop w:val="0"/>
      <w:marBottom w:val="0"/>
      <w:divBdr>
        <w:top w:val="none" w:sz="0" w:space="0" w:color="auto"/>
        <w:left w:val="none" w:sz="0" w:space="0" w:color="auto"/>
        <w:bottom w:val="none" w:sz="0" w:space="0" w:color="auto"/>
        <w:right w:val="none" w:sz="0" w:space="0" w:color="auto"/>
      </w:divBdr>
    </w:div>
    <w:div w:id="2125073432">
      <w:marLeft w:val="0"/>
      <w:marRight w:val="0"/>
      <w:marTop w:val="0"/>
      <w:marBottom w:val="0"/>
      <w:divBdr>
        <w:top w:val="none" w:sz="0" w:space="0" w:color="auto"/>
        <w:left w:val="none" w:sz="0" w:space="0" w:color="auto"/>
        <w:bottom w:val="none" w:sz="0" w:space="0" w:color="auto"/>
        <w:right w:val="none" w:sz="0" w:space="0" w:color="auto"/>
      </w:divBdr>
    </w:div>
    <w:div w:id="2125924421">
      <w:marLeft w:val="0"/>
      <w:marRight w:val="0"/>
      <w:marTop w:val="0"/>
      <w:marBottom w:val="0"/>
      <w:divBdr>
        <w:top w:val="none" w:sz="0" w:space="0" w:color="auto"/>
        <w:left w:val="none" w:sz="0" w:space="0" w:color="auto"/>
        <w:bottom w:val="none" w:sz="0" w:space="0" w:color="auto"/>
        <w:right w:val="none" w:sz="0" w:space="0" w:color="auto"/>
      </w:divBdr>
    </w:div>
    <w:div w:id="2127582638">
      <w:marLeft w:val="0"/>
      <w:marRight w:val="0"/>
      <w:marTop w:val="0"/>
      <w:marBottom w:val="0"/>
      <w:divBdr>
        <w:top w:val="none" w:sz="0" w:space="0" w:color="auto"/>
        <w:left w:val="none" w:sz="0" w:space="0" w:color="auto"/>
        <w:bottom w:val="none" w:sz="0" w:space="0" w:color="auto"/>
        <w:right w:val="none" w:sz="0" w:space="0" w:color="auto"/>
      </w:divBdr>
    </w:div>
    <w:div w:id="2132017619">
      <w:marLeft w:val="0"/>
      <w:marRight w:val="0"/>
      <w:marTop w:val="0"/>
      <w:marBottom w:val="0"/>
      <w:divBdr>
        <w:top w:val="none" w:sz="0" w:space="0" w:color="auto"/>
        <w:left w:val="none" w:sz="0" w:space="0" w:color="auto"/>
        <w:bottom w:val="none" w:sz="0" w:space="0" w:color="auto"/>
        <w:right w:val="none" w:sz="0" w:space="0" w:color="auto"/>
      </w:divBdr>
    </w:div>
    <w:div w:id="2136408573">
      <w:marLeft w:val="0"/>
      <w:marRight w:val="0"/>
      <w:marTop w:val="0"/>
      <w:marBottom w:val="0"/>
      <w:divBdr>
        <w:top w:val="none" w:sz="0" w:space="0" w:color="auto"/>
        <w:left w:val="none" w:sz="0" w:space="0" w:color="auto"/>
        <w:bottom w:val="none" w:sz="0" w:space="0" w:color="auto"/>
        <w:right w:val="none" w:sz="0" w:space="0" w:color="auto"/>
      </w:divBdr>
    </w:div>
    <w:div w:id="213917877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005210/000119312517043814/d276738dex41.htm" TargetMode="External"/><Relationship Id="rId18" Type="http://schemas.openxmlformats.org/officeDocument/2006/relationships/hyperlink" Target="sph-ex105_874.htm" TargetMode="External"/><Relationship Id="rId26" Type="http://schemas.openxmlformats.org/officeDocument/2006/relationships/hyperlink" Target="http://www.sec.gov/Archives/edgar/data/1005210/000156459019002248/sph-ex102_147.htm" TargetMode="External"/><Relationship Id="rId39" Type="http://schemas.openxmlformats.org/officeDocument/2006/relationships/hyperlink" Target="sph-ex992_10.htm" TargetMode="External"/><Relationship Id="rId21" Type="http://schemas.openxmlformats.org/officeDocument/2006/relationships/hyperlink" Target="http://www.sec.gov/Archives/edgar/data/1005210/000156459016029600/sph-ex106_66.htm" TargetMode="External"/><Relationship Id="rId34" Type="http://schemas.openxmlformats.org/officeDocument/2006/relationships/hyperlink" Target="sph-ex311_13.htm" TargetMode="External"/><Relationship Id="rId7" Type="http://schemas.openxmlformats.org/officeDocument/2006/relationships/hyperlink" Target="http://www.sec.gov/Archives/edgar/data/1005210/000095012309031133/c88805exv3w2.htm" TargetMode="External"/><Relationship Id="rId2" Type="http://schemas.openxmlformats.org/officeDocument/2006/relationships/settings" Target="settings.xml"/><Relationship Id="rId16" Type="http://schemas.openxmlformats.org/officeDocument/2006/relationships/hyperlink" Target="http://www.sec.gov/Archives/edgar/data/1005210/000095012309066033/c93076exv10w8.htm" TargetMode="External"/><Relationship Id="rId20" Type="http://schemas.openxmlformats.org/officeDocument/2006/relationships/hyperlink" Target="http://www.sec.gov/Archives/edgar/data/1005210/000156459016029600/sph-ex105_65.htm" TargetMode="External"/><Relationship Id="rId29" Type="http://schemas.openxmlformats.org/officeDocument/2006/relationships/hyperlink" Target="sph-ex1016_875.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005210/000156459018000862/sph-ex32_7.htm" TargetMode="External"/><Relationship Id="rId11" Type="http://schemas.openxmlformats.org/officeDocument/2006/relationships/hyperlink" Target="http://www.sec.gov/Archives/edgar/data/1005210/000119312514213816/d731677dex42.htm" TargetMode="External"/><Relationship Id="rId24" Type="http://schemas.openxmlformats.org/officeDocument/2006/relationships/hyperlink" Target="http://www.sec.gov/Archives/edgar/data/1005210/000156459018020806/sph-ex102_134.htm" TargetMode="External"/><Relationship Id="rId32" Type="http://schemas.openxmlformats.org/officeDocument/2006/relationships/hyperlink" Target="sph-ex211_12.htm" TargetMode="External"/><Relationship Id="rId37" Type="http://schemas.openxmlformats.org/officeDocument/2006/relationships/hyperlink" Target="sph-ex322_11.htm" TargetMode="External"/><Relationship Id="rId40" Type="http://schemas.openxmlformats.org/officeDocument/2006/relationships/fontTable" Target="fontTable.xml"/><Relationship Id="rId5" Type="http://schemas.openxmlformats.org/officeDocument/2006/relationships/hyperlink" Target="http://www.sec.gov/Archives/edgar/data/1005210/000156459018000862/sph-ex31_6.htm" TargetMode="External"/><Relationship Id="rId15" Type="http://schemas.openxmlformats.org/officeDocument/2006/relationships/hyperlink" Target="http://www.sec.gov/Archives/edgar/data/1005210/000156459018013702/sph-ex101_18.htm" TargetMode="External"/><Relationship Id="rId23" Type="http://schemas.openxmlformats.org/officeDocument/2006/relationships/hyperlink" Target="http://www.sec.gov/Archives/edgar/data/1005210/000156459017024209/sph-ex108_886.htm" TargetMode="External"/><Relationship Id="rId28" Type="http://schemas.openxmlformats.org/officeDocument/2006/relationships/hyperlink" Target="http://www.sec.gov/Archives/edgar/data/1005210/000156459019002248/sph-ex103_148.htm" TargetMode="External"/><Relationship Id="rId36" Type="http://schemas.openxmlformats.org/officeDocument/2006/relationships/hyperlink" Target="sph-ex321_8.htm" TargetMode="External"/><Relationship Id="rId10" Type="http://schemas.openxmlformats.org/officeDocument/2006/relationships/hyperlink" Target="http://www.sec.gov/Archives/edgar/data/1005210/000119312514213816/d731677dex41.htm" TargetMode="External"/><Relationship Id="rId19" Type="http://schemas.openxmlformats.org/officeDocument/2006/relationships/hyperlink" Target="http://www.sec.gov/Archives/edgar/data/1005210/000156459016029600/sph-ex104_67.htm" TargetMode="External"/><Relationship Id="rId31" Type="http://schemas.openxmlformats.org/officeDocument/2006/relationships/hyperlink" Target="http://www.sec.gov/Archives/edgar/data/1005210/000156459017008557/sph-ex101_37.htm" TargetMode="External"/><Relationship Id="rId4" Type="http://schemas.openxmlformats.org/officeDocument/2006/relationships/image" Target="file:///E:\projects\LLMs\new_data_collection\data_new\htm\SUBURBAN%20PROPANE%20PARTNERS%20LP\gnsmarammlip000001.jpg" TargetMode="External"/><Relationship Id="rId9" Type="http://schemas.openxmlformats.org/officeDocument/2006/relationships/hyperlink" Target="http://www.sec.gov/Archives/edgar/data/1005210/000095013606008698/file4.htm" TargetMode="External"/><Relationship Id="rId14" Type="http://schemas.openxmlformats.org/officeDocument/2006/relationships/hyperlink" Target="http://www.sec.gov/Archives/edgar/data/1005210/000119312515188140/d926888dex101.htm" TargetMode="External"/><Relationship Id="rId22" Type="http://schemas.openxmlformats.org/officeDocument/2006/relationships/hyperlink" Target="http://www.sec.gov/Archives/edgar/data/1005210/000156459017024209/sph-ex107_885.htm" TargetMode="External"/><Relationship Id="rId27" Type="http://schemas.openxmlformats.org/officeDocument/2006/relationships/hyperlink" Target="http://www.sec.gov/Archives/edgar/data/1005210/000156459017024209/sph-ex1010_884.htm" TargetMode="External"/><Relationship Id="rId30" Type="http://schemas.openxmlformats.org/officeDocument/2006/relationships/hyperlink" Target="http://www.sec.gov/Archives/edgar/data/1005210/000119312516491738/d146038dex101.htm" TargetMode="External"/><Relationship Id="rId35" Type="http://schemas.openxmlformats.org/officeDocument/2006/relationships/hyperlink" Target="sph-ex312_6.htm" TargetMode="External"/><Relationship Id="rId8" Type="http://schemas.openxmlformats.org/officeDocument/2006/relationships/hyperlink" Target="http://www.sec.gov/Archives/edgar/data/1005210/000095012309031133/c88805exv3w3.htm" TargetMode="External"/><Relationship Id="rId3" Type="http://schemas.openxmlformats.org/officeDocument/2006/relationships/webSettings" Target="webSettings.xml"/><Relationship Id="rId12" Type="http://schemas.openxmlformats.org/officeDocument/2006/relationships/hyperlink" Target="http://www.sec.gov/Archives/edgar/data/1005210/000119312515061151/d881217dex41.htm" TargetMode="External"/><Relationship Id="rId17" Type="http://schemas.openxmlformats.org/officeDocument/2006/relationships/hyperlink" Target="http://www.sec.gov/Archives/edgar/data/1005210/000156459019043848/sph-ex101_15.htm" TargetMode="External"/><Relationship Id="rId25" Type="http://schemas.openxmlformats.org/officeDocument/2006/relationships/hyperlink" Target="http://www.sec.gov/Archives/edgar/data/1005210/000156459019030540/sph-ex104_277.htm" TargetMode="External"/><Relationship Id="rId33" Type="http://schemas.openxmlformats.org/officeDocument/2006/relationships/hyperlink" Target="sph-ex231_7.htm" TargetMode="External"/><Relationship Id="rId38" Type="http://schemas.openxmlformats.org/officeDocument/2006/relationships/hyperlink" Target="http://www.sec.gov/Archives/edgar/data/1005210/000156459018029999/sph-ex991_5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81194</Words>
  <Characters>462809</Characters>
  <Application>Microsoft Office Word</Application>
  <DocSecurity>0</DocSecurity>
  <Lines>3856</Lines>
  <Paragraphs>1085</Paragraphs>
  <ScaleCrop>false</ScaleCrop>
  <Company/>
  <LinksUpToDate>false</LinksUpToDate>
  <CharactersWithSpaces>542918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sph-10k_20190928.htm </dc:title>
  <dc:subject/>
  <dc:creator>Chongjian.Yue</dc:creator>
  <cp:keywords/>
  <dc:description/>
  <cp:lastModifiedBy>Yue Chongjian</cp:lastModifiedBy>
  <cp:revision>1</cp:revision>
  <dcterms:created xsi:type="dcterms:W3CDTF">2024-01-04T16:30:00Z</dcterms:created>
  <dcterms:modified xsi:type="dcterms:W3CDTF">2024-01-04T16:30:00Z</dcterms:modified>
</cp:coreProperties>
</file>