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749A6">
      <w:pPr>
        <w:divId w:val="1014764627"/>
        <w:rPr>
          <w:rFonts w:eastAsia="Times New Roman"/>
          <w:vanish/>
        </w:rPr>
      </w:pPr>
      <w:r>
        <w:rPr>
          <w:rFonts w:eastAsia="Times New Roman"/>
          <w:vanish/>
        </w:rPr>
        <w:t>0.50Nine months00010052101 Yearfalse--09-24Q3SUBURBAN PROPANE PARTNERS LP15 years0.00500001005210us-gaap:AccumulatedOtherComprehensiveIncomeMember2020-09-260001005210sph:CommercialSectorMemberus-gaap:RetailMember2020-09-272021-06-260001005210</w:t>
      </w:r>
      <w:r>
        <w:rPr>
          <w:rFonts w:eastAsia="Times New Roman"/>
          <w:vanish/>
        </w:rPr>
        <w:t>sph:PostRetirementBenefitsMember2022-06-250001005210us-gaap:OperatingSegmentsMembersph:FuelOilAndRefinedFuelsMember2021-03-282021-06-260001005210us-gaap:OperatingSegmentsMemberus-gaap:AllOtherSegmentsMember2021-09-250001005210us-gaap:OperatingSegmentsMembe</w:t>
      </w:r>
      <w:r>
        <w:rPr>
          <w:rFonts w:eastAsia="Times New Roman"/>
          <w:vanish/>
        </w:rPr>
        <w:t>rsph:PropaneMember2021-09-250001005210us-gaap:CommonStockMember2021-09-262022-06-250001005210sph:LongTermIncentivePlanMember2020-09-272021-06-260001005210us-gaap:AccumulatedOtherComprehensiveIncomeMember2021-09-262022-06-250001005210sph:DistributionEquival</w:t>
      </w:r>
      <w:r>
        <w:rPr>
          <w:rFonts w:eastAsia="Times New Roman"/>
          <w:vanish/>
        </w:rPr>
        <w:t>entRightsPlanMember2021-03-282021-06-260001005210sph:SeniorNotesDue2027Member2021-09-262022-06-250001005210sph:PropaneAndPropaneRetailerMember2022-02-172022-02-170001005210us-gaap:AccumulatedDefinedBenefitPlansAdjustmentMember2021-03-270001005210us-gaap:Re</w:t>
      </w:r>
      <w:r>
        <w:rPr>
          <w:rFonts w:eastAsia="Times New Roman"/>
          <w:vanish/>
        </w:rPr>
        <w:t>tailMembersph:IndustrialSectorMember2021-03-282021-06-260001005210us-gaap:PensionPlansDefinedBenefitMember2022-06-250001005210us-gaap:NondesignatedMemberus-gaap:OtherCurrentLiabilitiesMemberus-gaap:CommodityOptionMember2021-09-250001005210us-gaap:Agricultu</w:t>
      </w:r>
      <w:r>
        <w:rPr>
          <w:rFonts w:eastAsia="Times New Roman"/>
          <w:vanish/>
        </w:rPr>
        <w:t>ralSectorMemberus-gaap:RetailMember2022-03-272022-06-250001005210sph:FuelOilAndRefinedFuelsMember2021-03-282021-06-260001005210sph:TwoThousandAndNineAndTwoThousandEighteenRestrictedUnitPlanMembersrt:MaximumMember2022-06-250001005210sph:SeniorNotesDue2031Me</w:t>
      </w:r>
      <w:r>
        <w:rPr>
          <w:rFonts w:eastAsia="Times New Roman"/>
          <w:vanish/>
        </w:rPr>
        <w:t>mber2022-06-250001005210us-gaap:RevolvingCreditFacilityMembersph:ThirdAmendedAndRestatedCreditMember2021-09-250001005210us-gaap:AccumulatedDefinedBenefitPlansAdjustmentMember2021-09-262022-06-250001005210us-gaap:OperatingSegmentsMemberus-gaap:AllOtherSegme</w:t>
      </w:r>
      <w:r>
        <w:rPr>
          <w:rFonts w:eastAsia="Times New Roman"/>
          <w:vanish/>
        </w:rPr>
        <w:t>ntsMember2022-06-250001005210us-gaap:OperatingSegmentsMemberus-gaap:CorporateMember2022-03-272022-06-250001005210sph:NaturalGasAndElectricityMember2022-06-250001005210us-gaap:RetailMembersph:ResidentialSectorMember2020-09-272021-06-260001005210us-gaap:Revo</w:t>
      </w:r>
      <w:r>
        <w:rPr>
          <w:rFonts w:eastAsia="Times New Roman"/>
          <w:vanish/>
        </w:rPr>
        <w:t>lvingCreditFacilityMember2021-09-250001005210sph:DistributionEquivalentRightsPlanMember2022-03-272022-06-250001005210us-gaap:GovernmentSectorMemberus-gaap:RetailMember2021-03-282021-06-260001005210sph:TwoThousandAndNineRestrictedUnitPlanMember2022-06-25000</w:t>
      </w:r>
      <w:r>
        <w:rPr>
          <w:rFonts w:eastAsia="Times New Roman"/>
          <w:vanish/>
        </w:rPr>
        <w:t>1005210sph:PropaneMember2021-09-262022-06-250001005210sph:CommercialSectorMemberus-gaap:RetailMember2022-03-272022-06-250001005210us-gaap:NondesignatedMemberus-gaap:OtherCurrentAssetsMemberus-gaap:CommodityOptionMember2021-09-250001005210us-gaap:OperatingS</w:t>
      </w:r>
      <w:r>
        <w:rPr>
          <w:rFonts w:eastAsia="Times New Roman"/>
          <w:vanish/>
        </w:rPr>
        <w:t>egmentsMembersph:FuelOilAndRefinedFuelsMember2021-09-262022-06-250001005210us-gaap:OperatingSegmentsMemberus-gaap:CorporateMember2021-09-250001005210us-gaap:AgriculturalSectorMemberus-gaap:RetailMember2020-09-272021-06-260001005210srt:MaximumMember2022-06-</w:t>
      </w:r>
      <w:r>
        <w:rPr>
          <w:rFonts w:eastAsia="Times New Roman"/>
          <w:vanish/>
        </w:rPr>
        <w:t>250001005210sph:OtherSalesRevenueNetMember2022-03-272022-06-2500010052102020-09-2600010052102021-09-250001005210us-gaap:OperatingSegmentsMembersph:NaturalGasAndElectricityMember2021-09-262022-06-250001005210us-gaap:RestrictedStockUnitsRSUMember2022-06-2500</w:t>
      </w:r>
      <w:r>
        <w:rPr>
          <w:rFonts w:eastAsia="Times New Roman"/>
          <w:vanish/>
        </w:rPr>
        <w:t>01005210sph:WholesaleMember2021-03-282021-06-2600010052102022-03-272022-06-250001005210us-gaap:AccumulatedOtherComprehensiveIncomeMember2021-03-282021-06-260001005210sph:PropaneAndPropaneRetailerMember2021-09-262021-12-250001005210us-gaap:AccumulatedDefine</w:t>
      </w:r>
      <w:r>
        <w:rPr>
          <w:rFonts w:eastAsia="Times New Roman"/>
          <w:vanish/>
        </w:rPr>
        <w:t>dBenefitPlansAdjustmentMember2022-03-2600010052102021-09-262021-12-250001005210sph:LongTermIncentivePlanMember2021-09-250001005210us-gaap:OperatingSegmentsMemberus-gaap:CorporateMember2020-09-272021-06-260001005210sph:OberonFuelsIncMember2022-06-2500010052</w:t>
      </w:r>
      <w:r>
        <w:rPr>
          <w:rFonts w:eastAsia="Times New Roman"/>
          <w:vanish/>
        </w:rPr>
        <w:t>10us-gaap:RetailMembersph:IndustrialSectorMember2021-09-262022-06-250001005210sph:WholesaleMember2022-03-272022-06-250001005210us-gaap:AccumulatedOtherComprehensiveIncomeMember2020-09-272021-06-260001005210us-gaap:AccumulatedOtherComprehensiveIncomeMember2</w:t>
      </w:r>
      <w:r>
        <w:rPr>
          <w:rFonts w:eastAsia="Times New Roman"/>
          <w:vanish/>
        </w:rPr>
        <w:t>021-09-250001005210us-gaap:CommonStockMember2020-09-272021-06-260001005210sph:PostRetirementBenefitsMember2020-09-272021-06-260001005210us-gaap:OtherPostretirementBenefitPlansDefinedBenefitMember2021-09-262022-06-250001005210sph:TwoThousandAndNineRestricte</w:t>
      </w:r>
      <w:r>
        <w:rPr>
          <w:rFonts w:eastAsia="Times New Roman"/>
          <w:vanish/>
        </w:rPr>
        <w:t>dUnitPlanMember2021-09-250001005210sph:TwoThousandAndEighteenRestrictedUnitPlanMembersrt:MaximumMember2022-06-250001005210us-gaap:OperatingSegmentsMembersph:NaturalGasAndElectricityMember2021-09-250001005210us-gaap:AccumulatedDefinedBenefitPlansAdjustmentM</w:t>
      </w:r>
      <w:r>
        <w:rPr>
          <w:rFonts w:eastAsia="Times New Roman"/>
          <w:vanish/>
        </w:rPr>
        <w:t>ember2022-03-272022-06-250001005210sph:PropaneMember2021-09-250001005210us-gaap:NoncompeteAgreementsMembersph:PropaneRetailerHeadquarteredInNewMexicoMember2022-06-132022-06-130001005210us-gaap:OperatingSegmentsMemberus-gaap:AllOtherSegmentsMember2021-09-26</w:t>
      </w:r>
      <w:r>
        <w:rPr>
          <w:rFonts w:eastAsia="Times New Roman"/>
          <w:vanish/>
        </w:rPr>
        <w:t>2022-06-250001005210us-gaap:CustomerRelationshipsMember2022-06-250001005210sph:FuelOilAndRefinedFuelsMember2021-09-262022-06-250001005210us-gaap:FederalFundsEffectiveSwapRateMembersph:AmendedRevolvingCreditFacilityDue2025Member2021-09-262022-06-25000100521</w:t>
      </w:r>
      <w:r>
        <w:rPr>
          <w:rFonts w:eastAsia="Times New Roman"/>
          <w:vanish/>
        </w:rPr>
        <w:t>02021-09-262022-06-250001005210sph:SeniorNotesDue2027Member2020-09-272021-09-250001005210sph:PostRetirementBenefitsMember2021-09-262022-06-250001005210us-gaap:OtherIntangibleAssetsMember2022-06-250001005210us-gaap:OtherPostretirementBenefitPlansDefinedBene</w:t>
      </w:r>
      <w:r>
        <w:rPr>
          <w:rFonts w:eastAsia="Times New Roman"/>
          <w:vanish/>
        </w:rPr>
        <w:t>fitMember2020-09-272021-06-260001005210us-gaap:OtherNonoperatingIncomeExpenseMembersph:PostRetirementBenefitsMember2021-09-262022-06-2500010052102021-03-282021-06-260001005210sph:SeniorNotesDue2024Member2022-06-250001005210sph:SeniorNotesDue2025Member2022-</w:t>
      </w:r>
      <w:r>
        <w:rPr>
          <w:rFonts w:eastAsia="Times New Roman"/>
          <w:vanish/>
        </w:rPr>
        <w:t>06-250001005210us-gaap:OperatingSegmentsMembersph:FuelOilAndRefinedFuelsMember2021-09-250001005210us-gaap:NondesignatedMemberus-gaap:OtherCurrentAssetsMemberus-gaap:CommodityOptionMember2022-06-250001005210sph:PropaneMember2020-09-272021-06-260001005210srt</w:t>
      </w:r>
      <w:r>
        <w:rPr>
          <w:rFonts w:eastAsia="Times New Roman"/>
          <w:vanish/>
        </w:rPr>
        <w:t>:MaximumMemberus-gaap:RestrictedStockUnitsRSUMemberus-gaap:ShareBasedCompensationAwardTrancheOneMember2021-09-262022-06-250001005210sph:LongTermIncentivePlanMember2021-09-262021-12-2500010052102021-03-270001005210us-gaap:CommonStockMember2021-06-2600010052</w:t>
      </w:r>
      <w:r>
        <w:rPr>
          <w:rFonts w:eastAsia="Times New Roman"/>
          <w:vanish/>
        </w:rPr>
        <w:t>10sph:OtherSalesRevenueNetMember2021-09-262022-06-2500010052102020-09-272021-06-260001005210us-gaap:NondesignatedMemberus-gaap:OtherNoncurrentAssetsMemberus-gaap:CommodityOptionMember2021-09-250001005210us-gaap:AccumulatedDefinedBenefitPlansAdjustmentMembe</w:t>
      </w:r>
      <w:r>
        <w:rPr>
          <w:rFonts w:eastAsia="Times New Roman"/>
          <w:vanish/>
        </w:rPr>
        <w:t>r2021-09-250001005210us-gaap:AgriculturalSectorMemberus-gaap:RetailMember2021-09-262022-06-250001005210us-gaap:NondesignatedMemberus-gaap:OtherCurrentLiabilitiesMemberus-gaap:CommodityOptionMember2022-06-250001005210sph:LongTermIncentivePlanMember2022-03-2</w:t>
      </w:r>
      <w:r>
        <w:rPr>
          <w:rFonts w:eastAsia="Times New Roman"/>
          <w:vanish/>
        </w:rPr>
        <w:t>72022-06-250001005210sph:PostRetirementBenefitsMember2022-03-272022-06-250001005210sph:PostRetirementBenefitsMember2021-03-282021-06-260001005210us-gaap:OtherNoncurrentLiabilitiesMemberus-gaap:NondesignatedMemberus-gaap:CommodityOptionMember2021-09-2500010</w:t>
      </w:r>
      <w:r>
        <w:rPr>
          <w:rFonts w:eastAsia="Times New Roman"/>
          <w:vanish/>
        </w:rPr>
        <w:t>05210sph:TwoThousandAndNineRestrictedUnitPlanMember2019-07-310001005210us-gaap:FederalFundsEffectiveSwapRateMember2021-09-262022-06-250001005210sph:SeniorNotesDue2031Member2021-09-250001005210us-gaap:CostOfSalesMemberus-gaap:NondesignatedMemberus-gaap:Comm</w:t>
      </w:r>
      <w:r>
        <w:rPr>
          <w:rFonts w:eastAsia="Times New Roman"/>
          <w:vanish/>
        </w:rPr>
        <w:t>odityOptionMember2021-09-262022-06-250001005210us-gaap:AccumulatedDefinedBenefitPlansAdjustmentMember2022-06-250001005210us-gaap:GovernmentSectorMemberus-gaap:RetailMember2021-09-262022-06-250001005210sph:PostRetirementBenefitsMember2020-09-260001005210us-</w:t>
      </w:r>
      <w:r>
        <w:rPr>
          <w:rFonts w:eastAsia="Times New Roman"/>
          <w:vanish/>
        </w:rPr>
        <w:t>gaap:RevolvingCreditFacilityMember2021-09-262022-06-250001005210us-gaap:RetailMembersph:ResidentialSectorMember2021-09-262022-06-250001005210us-gaap:CommonStockMember2022-03-272022-06-250001005210us-gaap:AccumulatedDefinedBenefitPlansAdjustmentMember2020-0</w:t>
      </w:r>
      <w:r>
        <w:rPr>
          <w:rFonts w:eastAsia="Times New Roman"/>
          <w:vanish/>
        </w:rPr>
        <w:t>9-272021-06-260001005210sph:WholesaleMember2021-09-262022-06-250001005210us-gaap:AccumulatedDefinedBenefitPlansAdjustmentMember2021-03-282021-06-260001005210sph:TwoThousandAndEighteenRestrictedUnitPlanMember2021-09-262022-06-250001005210us-gaap:OtherPostre</w:t>
      </w:r>
      <w:r>
        <w:rPr>
          <w:rFonts w:eastAsia="Times New Roman"/>
          <w:vanish/>
        </w:rPr>
        <w:t>tirementBenefitPlansDefinedBenefitMember2022-03-272022-06-250001005210sph:PropaneMember2022-03-272022-06-250001005210us-gaap:AccumulatedOtherComprehensiveIncomeMember2022-03-260001005210us-gaap:OperatingSegmentsMembersph:PropaneMember2022-06-250001005210us</w:t>
      </w:r>
      <w:r>
        <w:rPr>
          <w:rFonts w:eastAsia="Times New Roman"/>
          <w:vanish/>
        </w:rPr>
        <w:t>-gaap:OtherPostretirementBenefitPlansDefinedBenefitMember2021-03-282021-06-260001005210us-gaap:CommodityContractMember2021-09-262022-06-250001005210us-gaap:SeniorNotesMembersph:SeniorNotesDue2027Member2022-06-250001005210us-gaap:CommonStockMember2022-06-25</w:t>
      </w:r>
      <w:r>
        <w:rPr>
          <w:rFonts w:eastAsia="Times New Roman"/>
          <w:vanish/>
        </w:rPr>
        <w:t>0001005210sph:LongTermIncentivePlanMember2022-06-250001005210us-gaap:OperatingSegmentsMembersph:FuelOilAndRefinedFuelsMember2020-09-272021-06-260001005210us-gaap:LondonInterbankOfferedRateLIBORMember2021-09-262022-06-250001005210us-gaap:PensionPlansDefined</w:t>
      </w:r>
      <w:r>
        <w:rPr>
          <w:rFonts w:eastAsia="Times New Roman"/>
          <w:vanish/>
        </w:rPr>
        <w:t>BenefitMember2020-09-272021-06-260001005210us-gaap:OperatingSegmentsMembersph:PropaneMember2022-03-272022-06-250001005210us-gaap:OperatingSegmentsMembersph:NaturalGasAndElectricityMember2021-03-282021-06-260001005210us-gaap:FederalFundsEffectiveSwapRateMem</w:t>
      </w:r>
      <w:r>
        <w:rPr>
          <w:rFonts w:eastAsia="Times New Roman"/>
          <w:vanish/>
        </w:rPr>
        <w:t>bersph:AmendedRevolvingCreditFacilityDue2025Member2021-09-262022-03-260001005210sph:SeniorNoteDue2021Memberus-gaap:SeniorNotesMember2022-06-250001005210us-gaap:RestrictedStockUnitsRSUMember2022-03-272022-06-250001005210us-gaap:AccumulatedDefinedBenefitPlan</w:t>
      </w:r>
      <w:r>
        <w:rPr>
          <w:rFonts w:eastAsia="Times New Roman"/>
          <w:vanish/>
        </w:rPr>
        <w:t>sAdjustmentMember2020-09-260001005210us-gaap:OperatingSegmentsMembersph:PropaneMember2020-09-272021-06-260001005210us-gaap:OperatingSegmentsMemberus-gaap:CorporateMember2021-09-262022-06-250001005210us-gaap:RevolvingCreditFacilityMember2022-06-250001005210</w:t>
      </w:r>
      <w:r>
        <w:rPr>
          <w:rFonts w:eastAsia="Times New Roman"/>
          <w:vanish/>
        </w:rPr>
        <w:t>us-gaap:PensionPlansDefinedBenefitMember2020-12-272021-03-270001005210sph:PropaneAndPropaneRetailerMember2021-12-262022-03-260001005210us-gaap:GeneralPartnerMemberus-gaap:CommonStockMember2022-06-250001005210sph:FuelOilAndRefinedFuelsMember2022-03-272022-0</w:t>
      </w:r>
      <w:r>
        <w:rPr>
          <w:rFonts w:eastAsia="Times New Roman"/>
          <w:vanish/>
        </w:rPr>
        <w:t>6-250001005210us-gaap:CostOfSalesMemberus-gaap:NondesignatedMemberus-gaap:CommodityOptionMember2022-03-272022-06-250001005210sph:PostRetirementBenefitsMember2021-09-250001005210us-gaap:OtherIntangibleAssetsMember2021-09-2500010052102022-03-260001005210us-g</w:t>
      </w:r>
      <w:r>
        <w:rPr>
          <w:rFonts w:eastAsia="Times New Roman"/>
          <w:vanish/>
        </w:rPr>
        <w:t>aap:AccumulatedDefinedBenefitPlansAdjustmentMember2021-06-260001005210sph:LongTermIncentivePlanMember2021-03-282021-06-260001005210us-gaap:RestrictedStockUnitsRSUMember2021-03-282021-06-260001005210sph:SuburbanPropanePartnersLPMember2021-09-262022-06-25000</w:t>
      </w:r>
      <w:r>
        <w:rPr>
          <w:rFonts w:eastAsia="Times New Roman"/>
          <w:vanish/>
        </w:rPr>
        <w:t>1005210us-gaap:RetailMembersph:IndustrialSectorMember2022-03-272022-06-250001005210us-gaap:CommonStockMember2021-09-250001005210sph:NaturalGasAndElectricityMember2020-09-272021-06-260001005210sph:TwoThousandAndNineRestrictedUnitPlanMember2021-09-262022-06-</w:t>
      </w:r>
      <w:r>
        <w:rPr>
          <w:rFonts w:eastAsia="Times New Roman"/>
          <w:vanish/>
        </w:rPr>
        <w:t>250001005210us-gaap:OperatingSegmentsMemberus-gaap:AllOtherSegmentsMember2022-03-272022-06-250001005210us-gaap:OperatingSegmentsMembersph:NaturalGasAndElectricityMember2020-09-272021-06-260001005210sph:CommercialSectorMemberus-gaap:RetailMember2021-03-2820</w:t>
      </w:r>
      <w:r>
        <w:rPr>
          <w:rFonts w:eastAsia="Times New Roman"/>
          <w:vanish/>
        </w:rPr>
        <w:t>21-06-260001005210us-gaap:NondesignatedMember2022-06-250001005210us-gaap:CommonStockMember2020-09-260001005210sph:SuburbanRenewableEnergyLLCMember2022-03-090001005210us-gaap:RevolvingCreditFacilityMembersph:ThirdAmendedAndRestatedCreditMember2022-06-250001</w:t>
      </w:r>
      <w:r>
        <w:rPr>
          <w:rFonts w:eastAsia="Times New Roman"/>
          <w:vanish/>
        </w:rPr>
        <w:t>005210sph:PostRetirementBenefitsMember2022-06-250001005210us-gaap:OtherNonoperatingIncomeExpenseMemberus-gaap:PensionPlansDefinedBenefitMember2021-09-262022-06-2500010052102022-06-250001005210us-gaap:GovernmentSectorMemberus-gaap:RetailMember2020-09-272021</w:t>
      </w:r>
      <w:r>
        <w:rPr>
          <w:rFonts w:eastAsia="Times New Roman"/>
          <w:vanish/>
        </w:rPr>
        <w:t>-06-260001005210us-gaap:CustomerRelationshipsMember2021-09-250001005210sph:SeniorNotesDue2027Member2022-06-250001005210us-gaap:PensionPlansDefinedBenefitMember2021-03-282021-06-260001005210us-gaap:CostOfSalesMemberus-gaap:NondesignatedMemberus-gaap:Commodi</w:t>
      </w:r>
      <w:r>
        <w:rPr>
          <w:rFonts w:eastAsia="Times New Roman"/>
          <w:vanish/>
        </w:rPr>
        <w:t>tyOptionMember2021-03-282021-06-260001005210us-gaap:PensionPlansDefinedBenefitMember2022-03-272022-06-250001005210sph:NaturalGasAndElectricityMember2021-09-250001005210sph:ThirdAmendedAndRestatedCreditMemberus-gaap:RevolvingCreditFacilityMember2020-03-0500</w:t>
      </w:r>
      <w:r>
        <w:rPr>
          <w:rFonts w:eastAsia="Times New Roman"/>
          <w:vanish/>
        </w:rPr>
        <w:t>01005210sph:FuelOilAndRefinedFuelsMember2022-06-250001005210sph:DistributionEquivalentRightsPlanMember2021-09-262022-06-250001005210sph:FuelOilAndRefinedFuelsMember2021-09-250001005210sph:PostRetirementBenefitsMember2021-03-270001005210us-gaap:Nondesignate</w:t>
      </w:r>
      <w:r>
        <w:rPr>
          <w:rFonts w:eastAsia="Times New Roman"/>
          <w:vanish/>
        </w:rPr>
        <w:t>dMemberus-gaap:OtherNoncurrentAssetsMemberus-gaap:CommodityOptionMember2022-06-250001005210sph:AmendedRevolvingCreditFacilityDue2025Member2022-06-250001005210us-gaap:RetailMembersph:ResidentialSectorMember2021-03-282021-06-260001005210us-gaap:OperatingSegm</w:t>
      </w:r>
      <w:r>
        <w:rPr>
          <w:rFonts w:eastAsia="Times New Roman"/>
          <w:vanish/>
        </w:rPr>
        <w:t>entsMembersph:FuelOilAndRefinedFuelsMember2022-03-272022-06-250001005210us-gaap:NoncompeteAgreementsMember2021-09-250001005210us-gaap:CommonStockMember2021-03-270001005210sph:SeniorNotesDue2031Memberus-gaap:SeniorNotesMember2021-09-262022-06-250001005210us</w:t>
      </w:r>
      <w:r>
        <w:rPr>
          <w:rFonts w:eastAsia="Times New Roman"/>
          <w:vanish/>
        </w:rPr>
        <w:t>-gaap:GovernmentSectorMemberus-gaap:RetailMember2022-03-272022-06-2500010052102021-06-260001005210sph:PropaneMember2022-06-250001005210us-gaap:CostOfSalesMemberus-gaap:NondesignatedMemberus-gaap:CommodityOptionMember2020-09-272021-06-260001005210sph:Senior</w:t>
      </w:r>
      <w:r>
        <w:rPr>
          <w:rFonts w:eastAsia="Times New Roman"/>
          <w:vanish/>
        </w:rPr>
        <w:t>NotesDue2031Memberus-gaap:SeniorNotesMember2022-06-250001005210us-gaap:OperatingSegmentsMembersph:PropaneMember2021-09-262022-06-250001005210us-gaap:RetailMembersph:IndustrialSectorMember2020-09-272021-06-260001005210sph:SeniorNotesDue2027Member2021-09-250</w:t>
      </w:r>
      <w:r>
        <w:rPr>
          <w:rFonts w:eastAsia="Times New Roman"/>
          <w:vanish/>
        </w:rPr>
        <w:t>001005210sph:PropaneMember2021-03-282021-06-260001005210us-gaap:OperatingSegmentsMembersph:NaturalGasAndElectricityMember2022-03-272022-06-250001005210sph:NaturalGasAndElectricityMember2021-03-282021-06-260001005210sph:NaturalGasAndElectricityMember2022-03</w:t>
      </w:r>
      <w:r>
        <w:rPr>
          <w:rFonts w:eastAsia="Times New Roman"/>
          <w:vanish/>
        </w:rPr>
        <w:t>-272022-06-250001005210us-gaap:AgriculturalSectorMemberus-gaap:RetailMember2021-03-282021-06-260001005210us-gaap:OperatingSegmentsMemberus-gaap:AllOtherSegmentsMember2020-09-272021-06-260001005210sph:PostRetirementBenefitsMember2022-03-260001005210sph:Dist</w:t>
      </w:r>
      <w:r>
        <w:rPr>
          <w:rFonts w:eastAsia="Times New Roman"/>
          <w:vanish/>
        </w:rPr>
        <w:t>ributionEquivalentRightsPlanMember2020-09-272021-06-260001005210sph:WholesaleMember2020-09-272021-06-260001005210us-gaap:CommodityOptionMember2022-06-250001005210us-gaap:RestrictedStockUnitsRSUMember2021-09-262022-06-250001005210sph:SuburbanRenewableEnergy</w:t>
      </w:r>
      <w:r>
        <w:rPr>
          <w:rFonts w:eastAsia="Times New Roman"/>
          <w:vanish/>
        </w:rPr>
        <w:t>LLCMember2022-03-092022-03-090001005210us-gaap:OperatingSegmentsMemberus-gaap:AllOtherSegmentsMember2021-03-282021-06-260001005210sph:LongTermIncentivePlanMember2020-09-272020-12-260001005210sph:NaturalGasAndElectricityMember2021-09-262022-06-250001005210u</w:t>
      </w:r>
      <w:r>
        <w:rPr>
          <w:rFonts w:eastAsia="Times New Roman"/>
          <w:vanish/>
        </w:rPr>
        <w:t>s-gaap:OperatingSegmentsMembersph:NaturalGasAndElectricityMember2022-06-250001005210us-gaap:SeniorNotesMembersph:SeniorNotesDue2027Member2021-09-250001005210sph:PostRetirementBenefitsMember2021-06-260001005210sph:NaturalGasAndElectricityMember2021-09-26202</w:t>
      </w:r>
      <w:r>
        <w:rPr>
          <w:rFonts w:eastAsia="Times New Roman"/>
          <w:vanish/>
        </w:rPr>
        <w:t>2-06-250001005210sph:LongTermIncentivePlanMember2021-09-262022-06-250001005210us-gaap:OperatingSegmentsMemberus-gaap:CorporateMember2022-06-250001005210us-gaap:RetailMembersph:ResidentialSectorMember2022-03-272022-06-250001005210us-gaap:NondesignatedMember</w:t>
      </w:r>
      <w:r>
        <w:rPr>
          <w:rFonts w:eastAsia="Times New Roman"/>
          <w:vanish/>
        </w:rPr>
        <w:t>2021-09-250001005210srt:ExecutiveOfficerMembersph:TwoThousandAndNineRestrictedUnitPlanMember2021-09-262022-06-250001005210sph:FuelOilAndRefinedFuelsMember2020-09-272021-06-260001005210sph:FuelOilAndRefinedFuelsMember2021-09-262022-06-250001005210us-gaap:Re</w:t>
      </w:r>
      <w:r>
        <w:rPr>
          <w:rFonts w:eastAsia="Times New Roman"/>
          <w:vanish/>
        </w:rPr>
        <w:t>volvingCreditFacilityMember2020-03-052020-03-050001005210us-gaap:CommodityContractMember2020-09-272021-09-250001005210us-gaap:AccumulatedOtherComprehensiveIncomeMember2021-06-260001005210us-gaap:OperatingSegmentsMemberus-gaap:CorporateMember2021-03-282021-</w:t>
      </w:r>
      <w:r>
        <w:rPr>
          <w:rFonts w:eastAsia="Times New Roman"/>
          <w:vanish/>
        </w:rPr>
        <w:t>06-260001005210us-gaap:AccumulatedOtherComprehensiveIncomeMember2022-03-272022-06-250001005210us-gaap:AccumulatedOtherComprehensiveIncomeMember2021-03-270001005210sph:SeniorNotesDue2031Member2020-09-272021-09-250001005210us-gaap:OperatingSegmentsMembersph:</w:t>
      </w:r>
      <w:r>
        <w:rPr>
          <w:rFonts w:eastAsia="Times New Roman"/>
          <w:vanish/>
        </w:rPr>
        <w:t>PropaneMember2021-03-282021-06-260001005210us-gaap:OperatingSegmentsMembersph:FuelOilAndRefinedFuelsMember2022-06-250001005210srt:MaximumMember2021-09-262022-06-2500010052102022-08-010001005210us-gaap:NoncompeteAgreementsMember2022-06-250001005210us-gaap:C</w:t>
      </w:r>
      <w:r>
        <w:rPr>
          <w:rFonts w:eastAsia="Times New Roman"/>
          <w:vanish/>
        </w:rPr>
        <w:t>ommonStockMember2021-03-282021-06-260001005210us-gaap:RestrictedStockUnitsRSUMember2020-09-272021-06-260001005210us-gaap:PensionPlansDefinedBenefitMember2021-09-262022-06-250001005210sph:OtherSalesRevenueNetMember2020-09-272021-06-260001005210us-gaap:Accum</w:t>
      </w:r>
      <w:r>
        <w:rPr>
          <w:rFonts w:eastAsia="Times New Roman"/>
          <w:vanish/>
        </w:rPr>
        <w:t>ulatedOtherComprehensiveIncomeMember2022-06-250001005210sph:CommercialSectorMemberus-gaap:RetailMember2021-09-262022-06-250001005210sph:SeniorNotesDue2031Memberus-gaap:SeniorNotesMember2021-09-250001005210srt:MinimumMember2022-06-250001005210us-gaap:Commod</w:t>
      </w:r>
      <w:r>
        <w:rPr>
          <w:rFonts w:eastAsia="Times New Roman"/>
          <w:vanish/>
        </w:rPr>
        <w:t>ityOptionMember2021-09-250001005210sph:SeniorNotesDue2031Member2021-09-262022-06-250001005210sph:TankRentAndMaintenanceServiceMember2021-09-262022-06-250001005210us-gaap:CommonStockMember2022-03-260001005210sph:PropaneMember2021-09-262022-06-250001005210us</w:t>
      </w:r>
      <w:r>
        <w:rPr>
          <w:rFonts w:eastAsia="Times New Roman"/>
          <w:vanish/>
        </w:rPr>
        <w:t>-gaap:SeniorNotesMembersph:SeniorNotesDue2027Member2021-09-262022-06-250001005210sph:OtherSalesRevenueNetMember2021-03-282021-06-260001005210us-gaap:OtherNoncurrentLiabilitiesMemberus-gaap:NondesignatedMemberus-gaap:CommodityOptionMember2022-06-25000100521</w:t>
      </w:r>
      <w:r>
        <w:rPr>
          <w:rFonts w:eastAsia="Times New Roman"/>
          <w:vanish/>
        </w:rPr>
        <w:t>0us-gaap:LondonInterbankOfferedRateLIBORMembersph:AmendedRevolvingCreditFacilityDue2025Member2021-09-262022-06-250001005210sph:PropaneRetailerHeadquarteredInNewMexicoMember2022-06-132022-06-13sph:Segmentxbrli:purexbrli:sharesiso4217:USDxbrli:sharesiso4217:</w:t>
      </w:r>
      <w:r>
        <w:rPr>
          <w:rFonts w:eastAsia="Times New Roman"/>
          <w:vanish/>
        </w:rPr>
        <w:t>USDutr:WK</w:t>
      </w:r>
    </w:p>
    <w:p w:rsidR="00000000" w:rsidRDefault="00A749A6">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pBdr>
          <w:bottom w:val="double" w:sz="6" w:space="1" w:color="auto"/>
        </w:pBdr>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jc w:val="center"/>
        <w:rPr>
          <w:sz w:val="20"/>
          <w:szCs w:val="20"/>
        </w:rPr>
      </w:pPr>
      <w:r>
        <w:rPr>
          <w:b/>
          <w:bCs/>
          <w:sz w:val="36"/>
          <w:szCs w:val="36"/>
        </w:rPr>
        <w:t>UNITED STATE</w:t>
      </w:r>
      <w:r>
        <w:rPr>
          <w:b/>
          <w:bCs/>
          <w:sz w:val="36"/>
          <w:szCs w:val="36"/>
        </w:rPr>
        <w:t>S</w:t>
      </w:r>
    </w:p>
    <w:p w:rsidR="00000000" w:rsidRDefault="00A749A6">
      <w:pPr>
        <w:pStyle w:val="a3"/>
        <w:spacing w:before="0" w:beforeAutospacing="0" w:after="0" w:afterAutospacing="0"/>
        <w:jc w:val="center"/>
        <w:rPr>
          <w:sz w:val="20"/>
          <w:szCs w:val="20"/>
        </w:rPr>
      </w:pPr>
      <w:r>
        <w:rPr>
          <w:b/>
          <w:bCs/>
          <w:sz w:val="36"/>
          <w:szCs w:val="36"/>
        </w:rPr>
        <w:t>SECURITIES AND EXCHANGE COMMISSIO</w:t>
      </w:r>
      <w:r>
        <w:rPr>
          <w:b/>
          <w:bCs/>
          <w:sz w:val="36"/>
          <w:szCs w:val="36"/>
        </w:rPr>
        <w:t>N</w:t>
      </w:r>
    </w:p>
    <w:p w:rsidR="00000000" w:rsidRDefault="00A749A6">
      <w:pPr>
        <w:pStyle w:val="a3"/>
        <w:spacing w:before="0" w:beforeAutospacing="0" w:after="0" w:afterAutospacing="0"/>
        <w:jc w:val="center"/>
        <w:rPr>
          <w:sz w:val="20"/>
          <w:szCs w:val="20"/>
        </w:rPr>
      </w:pPr>
      <w:r>
        <w:rPr>
          <w:b/>
          <w:bCs/>
        </w:rPr>
        <w:t>Washington, D.C. 2054</w:t>
      </w:r>
      <w:r>
        <w:rPr>
          <w:b/>
          <w:bCs/>
        </w:rPr>
        <w:t>9</w:t>
      </w:r>
    </w:p>
    <w:p w:rsidR="00000000" w:rsidRDefault="00A749A6">
      <w:pPr>
        <w:pStyle w:val="a3"/>
        <w:pBdr>
          <w:bottom w:val="single" w:sz="4" w:space="1" w:color="auto"/>
        </w:pBdr>
        <w:spacing w:before="0" w:beforeAutospacing="0" w:after="0" w:afterAutospacing="0"/>
        <w:ind w:left="4762" w:right="4762"/>
        <w:jc w:val="center"/>
        <w:rPr>
          <w:sz w:val="20"/>
          <w:szCs w:val="20"/>
        </w:rPr>
      </w:pPr>
      <w:r>
        <w:rPr>
          <w:sz w:val="20"/>
          <w:szCs w:val="20"/>
        </w:rPr>
        <w:t> </w:t>
      </w:r>
    </w:p>
    <w:p w:rsidR="00000000" w:rsidRDefault="00A749A6">
      <w:pPr>
        <w:pStyle w:val="a3"/>
        <w:spacing w:before="16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Q</w:t>
      </w:r>
      <w:r>
        <w:rPr>
          <w:b/>
          <w:bCs/>
          <w:sz w:val="36"/>
          <w:szCs w:val="36"/>
        </w:rPr>
        <w:t xml:space="preserve"> </w:t>
      </w:r>
    </w:p>
    <w:p w:rsidR="00000000" w:rsidRDefault="00A749A6">
      <w:pPr>
        <w:pStyle w:val="a3"/>
        <w:pBdr>
          <w:bottom w:val="single" w:sz="4" w:space="1" w:color="auto"/>
        </w:pBdr>
        <w:spacing w:before="0" w:beforeAutospacing="0" w:after="0" w:afterAutospacing="0"/>
        <w:ind w:left="4762" w:right="4762"/>
        <w:jc w:val="center"/>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1"/>
        <w:gridCol w:w="112"/>
        <w:gridCol w:w="7823"/>
      </w:tblGrid>
      <w:tr w:rsidR="00000000">
        <w:trPr>
          <w:tblCellSpacing w:w="15" w:type="dxa"/>
        </w:trPr>
        <w:tc>
          <w:tcPr>
            <w:tcW w:w="199" w:type="pct"/>
            <w:vAlign w:val="center"/>
            <w:hideMark/>
          </w:tcPr>
          <w:p w:rsidR="00000000" w:rsidRDefault="00A749A6">
            <w:pPr>
              <w:rPr>
                <w:sz w:val="20"/>
                <w:szCs w:val="20"/>
              </w:rPr>
            </w:pPr>
          </w:p>
        </w:tc>
        <w:tc>
          <w:tcPr>
            <w:tcW w:w="50" w:type="pct"/>
            <w:vAlign w:val="center"/>
            <w:hideMark/>
          </w:tcPr>
          <w:p w:rsidR="00000000" w:rsidRDefault="00A749A6">
            <w:pPr>
              <w:rPr>
                <w:rFonts w:eastAsia="Times New Roman"/>
                <w:sz w:val="20"/>
                <w:szCs w:val="20"/>
              </w:rPr>
            </w:pPr>
          </w:p>
        </w:tc>
        <w:tc>
          <w:tcPr>
            <w:tcW w:w="4750" w:type="pct"/>
            <w:vAlign w:val="center"/>
            <w:hideMark/>
          </w:tcPr>
          <w:p w:rsidR="00000000" w:rsidRDefault="00A749A6">
            <w:pPr>
              <w:rPr>
                <w:rFonts w:eastAsia="Times New Roman"/>
                <w:sz w:val="20"/>
                <w:szCs w:val="20"/>
              </w:rPr>
            </w:pPr>
          </w:p>
        </w:tc>
      </w:tr>
      <w:tr w:rsidR="00000000">
        <w:trPr>
          <w:trHeight w:val="240"/>
          <w:tblCellSpacing w:w="15" w:type="dxa"/>
        </w:trPr>
        <w:tc>
          <w:tcPr>
            <w:tcW w:w="0" w:type="auto"/>
            <w:vAlign w:val="bottom"/>
            <w:hideMark/>
          </w:tcPr>
          <w:p w:rsidR="00000000" w:rsidRDefault="00A749A6">
            <w:pPr>
              <w:pStyle w:val="a3"/>
              <w:spacing w:before="0" w:beforeAutospacing="0" w:after="0" w:afterAutospacing="0"/>
              <w:rPr>
                <w:sz w:val="20"/>
                <w:szCs w:val="20"/>
              </w:rPr>
            </w:pPr>
            <w:r>
              <w:rPr>
                <w:rFonts w:ascii="Segoe UI Symbol" w:hAnsi="Segoe UI Symbol"/>
                <w:b/>
                <w:bCs/>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pPr>
            <w:r>
              <w:rPr>
                <w:b/>
                <w:bCs/>
              </w:rPr>
              <w:t>Quarterly Report Pursuant to Section 13 or 15(d) of the Securities Exchange Act of 193</w:t>
            </w:r>
            <w:r>
              <w:rPr>
                <w:b/>
                <w:bCs/>
              </w:rPr>
              <w:t>4</w:t>
            </w:r>
          </w:p>
        </w:tc>
      </w:tr>
    </w:tbl>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jc w:val="center"/>
        <w:rPr>
          <w:sz w:val="20"/>
          <w:szCs w:val="20"/>
        </w:rPr>
      </w:pPr>
      <w:r>
        <w:rPr>
          <w:b/>
          <w:bCs/>
          <w:sz w:val="20"/>
          <w:szCs w:val="20"/>
        </w:rPr>
        <w:t>For the quarterly period ended</w:t>
      </w:r>
      <w:r>
        <w:rPr>
          <w:b/>
          <w:bCs/>
          <w:sz w:val="20"/>
          <w:szCs w:val="20"/>
        </w:rPr>
        <w:t xml:space="preserve"> </w:t>
      </w:r>
      <w:r>
        <w:rPr>
          <w:b/>
          <w:bCs/>
          <w:sz w:val="20"/>
          <w:szCs w:val="20"/>
        </w:rPr>
        <w:t>June 25,</w:t>
      </w:r>
      <w:r>
        <w:rPr>
          <w:b/>
          <w:bCs/>
          <w:sz w:val="20"/>
          <w:szCs w:val="20"/>
        </w:rPr>
        <w:t xml:space="preserve"> </w:t>
      </w:r>
      <w:r>
        <w:rPr>
          <w:b/>
          <w:bCs/>
          <w:sz w:val="20"/>
          <w:szCs w:val="20"/>
        </w:rPr>
        <w:t>202</w:t>
      </w:r>
      <w:r>
        <w:rPr>
          <w:b/>
          <w:bCs/>
          <w:sz w:val="20"/>
          <w:szCs w:val="20"/>
        </w:rPr>
        <w:t>2</w:t>
      </w:r>
    </w:p>
    <w:p w:rsidR="00000000" w:rsidRDefault="00A749A6">
      <w:pPr>
        <w:pStyle w:val="a3"/>
        <w:spacing w:before="0" w:beforeAutospacing="0" w:after="0" w:afterAutospacing="0"/>
        <w:ind w:hanging="581"/>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7"/>
        <w:gridCol w:w="120"/>
        <w:gridCol w:w="7819"/>
      </w:tblGrid>
      <w:tr w:rsidR="00000000">
        <w:trPr>
          <w:tblCellSpacing w:w="15" w:type="dxa"/>
        </w:trPr>
        <w:tc>
          <w:tcPr>
            <w:tcW w:w="199" w:type="pct"/>
            <w:vAlign w:val="center"/>
            <w:hideMark/>
          </w:tcPr>
          <w:p w:rsidR="00000000" w:rsidRDefault="00A749A6">
            <w:pPr>
              <w:rPr>
                <w:sz w:val="20"/>
                <w:szCs w:val="20"/>
              </w:rPr>
            </w:pPr>
          </w:p>
        </w:tc>
        <w:tc>
          <w:tcPr>
            <w:tcW w:w="50" w:type="pct"/>
            <w:vAlign w:val="center"/>
            <w:hideMark/>
          </w:tcPr>
          <w:p w:rsidR="00000000" w:rsidRDefault="00A749A6">
            <w:pPr>
              <w:rPr>
                <w:rFonts w:eastAsia="Times New Roman"/>
                <w:sz w:val="20"/>
                <w:szCs w:val="20"/>
              </w:rPr>
            </w:pPr>
          </w:p>
        </w:tc>
        <w:tc>
          <w:tcPr>
            <w:tcW w:w="4750" w:type="pct"/>
            <w:vAlign w:val="center"/>
            <w:hideMark/>
          </w:tcPr>
          <w:p w:rsidR="00000000" w:rsidRDefault="00A749A6">
            <w:pPr>
              <w:rPr>
                <w:rFonts w:eastAsia="Times New Roman"/>
                <w:sz w:val="20"/>
                <w:szCs w:val="20"/>
              </w:rPr>
            </w:pPr>
          </w:p>
        </w:tc>
      </w:tr>
      <w:tr w:rsidR="00000000">
        <w:trPr>
          <w:trHeight w:val="240"/>
          <w:tblCellSpacing w:w="15" w:type="dxa"/>
        </w:trPr>
        <w:tc>
          <w:tcPr>
            <w:tcW w:w="0" w:type="auto"/>
            <w:vAlign w:val="bottom"/>
            <w:hideMark/>
          </w:tcPr>
          <w:p w:rsidR="00000000" w:rsidRDefault="00A749A6">
            <w:pPr>
              <w:pStyle w:val="a3"/>
              <w:spacing w:before="0" w:beforeAutospacing="0" w:after="0" w:afterAutospacing="0"/>
              <w:rPr>
                <w:sz w:val="20"/>
                <w:szCs w:val="20"/>
              </w:rPr>
            </w:pPr>
            <w:r>
              <w:rPr>
                <w:rFonts w:ascii="Segoe UI Symbol" w:hAnsi="Segoe UI Symbol"/>
                <w:b/>
                <w:bCs/>
              </w:rPr>
              <w:t>☐</w:t>
            </w:r>
          </w:p>
        </w:tc>
        <w:tc>
          <w:tcPr>
            <w:tcW w:w="0" w:type="auto"/>
            <w:hideMark/>
          </w:tcPr>
          <w:p w:rsidR="00000000" w:rsidRDefault="00A749A6">
            <w:pPr>
              <w:pStyle w:val="a3"/>
              <w:spacing w:before="0" w:beforeAutospacing="0" w:after="0" w:afterAutospacing="0"/>
            </w:pPr>
            <w:r>
              <w:t> </w:t>
            </w:r>
          </w:p>
        </w:tc>
        <w:tc>
          <w:tcPr>
            <w:tcW w:w="0" w:type="auto"/>
            <w:vAlign w:val="bottom"/>
            <w:hideMark/>
          </w:tcPr>
          <w:p w:rsidR="00000000" w:rsidRDefault="00A749A6">
            <w:pPr>
              <w:pStyle w:val="a3"/>
              <w:spacing w:before="0" w:beforeAutospacing="0" w:after="0" w:afterAutospacing="0"/>
            </w:pPr>
            <w:r>
              <w:rPr>
                <w:b/>
                <w:bCs/>
              </w:rPr>
              <w:t>Transition Report Pursuant to Section 13 or 15(d) of the Securities Exchange Act of 193</w:t>
            </w:r>
            <w:r>
              <w:rPr>
                <w:b/>
                <w:bCs/>
              </w:rPr>
              <w:t>4</w:t>
            </w:r>
          </w:p>
        </w:tc>
      </w:tr>
    </w:tbl>
    <w:p w:rsidR="00000000" w:rsidRDefault="00A749A6">
      <w:pPr>
        <w:pStyle w:val="a3"/>
        <w:spacing w:before="0" w:beforeAutospacing="0" w:after="0" w:afterAutospacing="0"/>
        <w:ind w:hanging="581"/>
        <w:rPr>
          <w:sz w:val="20"/>
          <w:szCs w:val="20"/>
        </w:rPr>
      </w:pPr>
      <w:r>
        <w:rPr>
          <w:sz w:val="20"/>
          <w:szCs w:val="20"/>
        </w:rPr>
        <w:t> </w:t>
      </w:r>
    </w:p>
    <w:p w:rsidR="00000000" w:rsidRDefault="00A749A6">
      <w:pPr>
        <w:pStyle w:val="a3"/>
        <w:spacing w:before="0" w:beforeAutospacing="0" w:after="0" w:afterAutospacing="0"/>
        <w:jc w:val="center"/>
        <w:rPr>
          <w:sz w:val="20"/>
          <w:szCs w:val="20"/>
        </w:rPr>
      </w:pPr>
      <w:r>
        <w:rPr>
          <w:b/>
          <w:bCs/>
          <w:sz w:val="20"/>
          <w:szCs w:val="20"/>
        </w:rPr>
        <w:t>Commission File Nu</w:t>
      </w:r>
      <w:r>
        <w:rPr>
          <w:b/>
          <w:bCs/>
          <w:sz w:val="20"/>
          <w:szCs w:val="20"/>
        </w:rPr>
        <w:t>mber:</w:t>
      </w:r>
      <w:r>
        <w:rPr>
          <w:b/>
          <w:bCs/>
          <w:sz w:val="20"/>
          <w:szCs w:val="20"/>
        </w:rPr>
        <w:t xml:space="preserve"> </w:t>
      </w:r>
      <w:r>
        <w:rPr>
          <w:b/>
          <w:bCs/>
          <w:sz w:val="20"/>
          <w:szCs w:val="20"/>
        </w:rPr>
        <w:t>1-1422</w:t>
      </w:r>
      <w:r>
        <w:rPr>
          <w:b/>
          <w:bCs/>
          <w:sz w:val="20"/>
          <w:szCs w:val="20"/>
        </w:rPr>
        <w:t>2</w:t>
      </w:r>
    </w:p>
    <w:p w:rsidR="00000000" w:rsidRDefault="00A749A6">
      <w:pPr>
        <w:pStyle w:val="a3"/>
        <w:pBdr>
          <w:bottom w:val="single" w:sz="4" w:space="1" w:color="auto"/>
        </w:pBdr>
        <w:spacing w:before="0" w:beforeAutospacing="0" w:after="0" w:afterAutospacing="0"/>
        <w:ind w:left="4762" w:right="4762"/>
        <w:jc w:val="center"/>
        <w:rPr>
          <w:sz w:val="20"/>
          <w:szCs w:val="20"/>
        </w:rPr>
      </w:pPr>
      <w:r>
        <w:rPr>
          <w:sz w:val="20"/>
          <w:szCs w:val="20"/>
        </w:rPr>
        <w:t> </w:t>
      </w:r>
    </w:p>
    <w:p w:rsidR="00000000" w:rsidRDefault="00A749A6">
      <w:pPr>
        <w:pStyle w:val="a3"/>
        <w:spacing w:before="160" w:beforeAutospacing="0" w:after="0" w:afterAutospacing="0"/>
        <w:jc w:val="center"/>
        <w:rPr>
          <w:sz w:val="20"/>
          <w:szCs w:val="20"/>
        </w:rPr>
      </w:pPr>
      <w:r>
        <w:rPr>
          <w:b/>
          <w:bCs/>
          <w:sz w:val="40"/>
          <w:szCs w:val="40"/>
        </w:rPr>
        <w:t>SUBURBAN PROPANE PARTNERS, L.P</w:t>
      </w:r>
      <w:r>
        <w:rPr>
          <w:b/>
          <w:bCs/>
          <w:sz w:val="40"/>
          <w:szCs w:val="40"/>
        </w:rPr>
        <w:t>.</w:t>
      </w:r>
    </w:p>
    <w:p w:rsidR="00000000" w:rsidRDefault="00A749A6">
      <w:pPr>
        <w:pStyle w:val="a3"/>
        <w:spacing w:before="0" w:beforeAutospacing="0" w:after="0" w:afterAutospacing="0"/>
        <w:jc w:val="center"/>
        <w:rPr>
          <w:sz w:val="20"/>
          <w:szCs w:val="20"/>
        </w:rPr>
      </w:pPr>
      <w:r>
        <w:rPr>
          <w:b/>
          <w:bCs/>
          <w:sz w:val="20"/>
          <w:szCs w:val="20"/>
        </w:rPr>
        <w:t>(Exact name of registrant as specified in its charter</w:t>
      </w:r>
      <w:r>
        <w:rPr>
          <w:b/>
          <w:bCs/>
          <w:sz w:val="20"/>
          <w:szCs w:val="20"/>
        </w:rPr>
        <w:t>)</w:t>
      </w:r>
    </w:p>
    <w:p w:rsidR="00000000" w:rsidRDefault="00A749A6">
      <w:pPr>
        <w:pStyle w:val="a3"/>
        <w:pBdr>
          <w:bottom w:val="single" w:sz="4" w:space="1" w:color="auto"/>
        </w:pBdr>
        <w:spacing w:before="0" w:beforeAutospacing="0" w:after="0" w:afterAutospacing="0"/>
        <w:ind w:left="4762" w:right="4762"/>
        <w:jc w:val="center"/>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3"/>
        <w:gridCol w:w="4153"/>
      </w:tblGrid>
      <w:tr w:rsidR="00000000">
        <w:trPr>
          <w:tblCellSpacing w:w="15" w:type="dxa"/>
        </w:trPr>
        <w:tc>
          <w:tcPr>
            <w:tcW w:w="2500" w:type="pct"/>
            <w:vAlign w:val="center"/>
            <w:hideMark/>
          </w:tcPr>
          <w:p w:rsidR="00000000" w:rsidRDefault="00A749A6">
            <w:pPr>
              <w:rPr>
                <w:sz w:val="20"/>
                <w:szCs w:val="20"/>
              </w:rPr>
            </w:pPr>
          </w:p>
        </w:tc>
        <w:tc>
          <w:tcPr>
            <w:tcW w:w="2500" w:type="pct"/>
            <w:vAlign w:val="center"/>
            <w:hideMark/>
          </w:tcPr>
          <w:p w:rsidR="00000000" w:rsidRDefault="00A749A6">
            <w:pPr>
              <w:rPr>
                <w:rFonts w:eastAsia="Times New Roman"/>
                <w:sz w:val="20"/>
                <w:szCs w:val="20"/>
              </w:rPr>
            </w:pPr>
          </w:p>
        </w:tc>
      </w:tr>
      <w:tr w:rsidR="00000000">
        <w:trPr>
          <w:trHeight w:val="14"/>
          <w:tblCellSpacing w:w="15" w:type="dxa"/>
        </w:trPr>
        <w:tc>
          <w:tcPr>
            <w:tcW w:w="0" w:type="auto"/>
            <w:vAlign w:val="bottom"/>
            <w:hideMark/>
          </w:tcPr>
          <w:p w:rsidR="00000000" w:rsidRDefault="00A749A6">
            <w:pPr>
              <w:pStyle w:val="a3"/>
              <w:spacing w:before="0" w:beforeAutospacing="0" w:after="0" w:afterAutospacing="0"/>
              <w:jc w:val="center"/>
              <w:rPr>
                <w:sz w:val="20"/>
                <w:szCs w:val="20"/>
              </w:rPr>
            </w:pPr>
            <w:r>
              <w:rPr>
                <w:b/>
                <w:bCs/>
                <w:sz w:val="20"/>
                <w:szCs w:val="20"/>
              </w:rPr>
              <w:t>Delawar</w:t>
            </w:r>
            <w:r>
              <w:rPr>
                <w:b/>
                <w:bCs/>
                <w:sz w:val="20"/>
                <w:szCs w:val="20"/>
              </w:rPr>
              <w:t>e</w:t>
            </w:r>
          </w:p>
        </w:tc>
        <w:tc>
          <w:tcPr>
            <w:tcW w:w="0" w:type="auto"/>
            <w:vAlign w:val="bottom"/>
            <w:hideMark/>
          </w:tcPr>
          <w:p w:rsidR="00000000" w:rsidRDefault="00A749A6">
            <w:pPr>
              <w:pStyle w:val="a3"/>
              <w:spacing w:before="0" w:beforeAutospacing="0" w:after="0" w:afterAutospacing="0"/>
              <w:jc w:val="center"/>
              <w:rPr>
                <w:sz w:val="20"/>
                <w:szCs w:val="20"/>
              </w:rPr>
            </w:pPr>
            <w:r>
              <w:rPr>
                <w:b/>
                <w:bCs/>
                <w:sz w:val="20"/>
                <w:szCs w:val="20"/>
              </w:rPr>
              <w:t>22-341035</w:t>
            </w:r>
            <w:r>
              <w:rPr>
                <w:b/>
                <w:bCs/>
                <w:sz w:val="20"/>
                <w:szCs w:val="20"/>
              </w:rPr>
              <w:t>3</w:t>
            </w:r>
          </w:p>
        </w:tc>
      </w:tr>
      <w:tr w:rsidR="00000000">
        <w:trPr>
          <w:trHeight w:val="14"/>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b/>
                <w:bCs/>
                <w:sz w:val="16"/>
                <w:szCs w:val="16"/>
              </w:rPr>
              <w:t>(State or other jurisdiction o</w:t>
            </w:r>
            <w:r>
              <w:rPr>
                <w:b/>
                <w:bCs/>
                <w:sz w:val="16"/>
                <w:szCs w:val="16"/>
              </w:rPr>
              <w:t>f</w:t>
            </w:r>
          </w:p>
        </w:tc>
        <w:tc>
          <w:tcPr>
            <w:tcW w:w="0" w:type="auto"/>
            <w:vAlign w:val="bottom"/>
            <w:hideMark/>
          </w:tcPr>
          <w:p w:rsidR="00000000" w:rsidRDefault="00A749A6">
            <w:pPr>
              <w:pStyle w:val="a3"/>
              <w:spacing w:before="0" w:beforeAutospacing="0" w:after="0" w:afterAutospacing="0"/>
              <w:jc w:val="center"/>
              <w:rPr>
                <w:sz w:val="16"/>
                <w:szCs w:val="16"/>
              </w:rPr>
            </w:pPr>
            <w:r>
              <w:rPr>
                <w:b/>
                <w:bCs/>
                <w:sz w:val="16"/>
                <w:szCs w:val="16"/>
              </w:rPr>
              <w:t>(I.R.S. Employe</w:t>
            </w:r>
            <w:r>
              <w:rPr>
                <w:b/>
                <w:bCs/>
                <w:sz w:val="16"/>
                <w:szCs w:val="16"/>
              </w:rPr>
              <w:t>r</w:t>
            </w:r>
          </w:p>
        </w:tc>
      </w:tr>
      <w:tr w:rsidR="00000000">
        <w:trPr>
          <w:trHeight w:val="14"/>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b/>
                <w:bCs/>
                <w:sz w:val="16"/>
                <w:szCs w:val="16"/>
              </w:rPr>
              <w:t>incorporation or organization</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b/>
                <w:bCs/>
                <w:sz w:val="16"/>
                <w:szCs w:val="16"/>
              </w:rPr>
              <w:t>Identification No.</w:t>
            </w:r>
            <w:r>
              <w:rPr>
                <w:b/>
                <w:bCs/>
                <w:sz w:val="16"/>
                <w:szCs w:val="16"/>
              </w:rPr>
              <w:t>)</w:t>
            </w:r>
          </w:p>
        </w:tc>
      </w:tr>
    </w:tbl>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jc w:val="center"/>
        <w:rPr>
          <w:sz w:val="20"/>
          <w:szCs w:val="20"/>
        </w:rPr>
      </w:pPr>
      <w:r>
        <w:rPr>
          <w:b/>
          <w:bCs/>
          <w:sz w:val="20"/>
          <w:szCs w:val="20"/>
        </w:rPr>
        <w:t>240 Route 10 Wes</w:t>
      </w:r>
      <w:r>
        <w:rPr>
          <w:b/>
          <w:bCs/>
          <w:sz w:val="20"/>
          <w:szCs w:val="20"/>
        </w:rPr>
        <w:t>t</w:t>
      </w:r>
    </w:p>
    <w:p w:rsidR="00000000" w:rsidRDefault="00A749A6">
      <w:pPr>
        <w:pStyle w:val="a3"/>
        <w:spacing w:before="0" w:beforeAutospacing="0" w:after="0" w:afterAutospacing="0"/>
        <w:jc w:val="center"/>
        <w:rPr>
          <w:sz w:val="20"/>
          <w:szCs w:val="20"/>
        </w:rPr>
      </w:pPr>
      <w:r>
        <w:rPr>
          <w:b/>
          <w:bCs/>
          <w:sz w:val="20"/>
          <w:szCs w:val="20"/>
        </w:rPr>
        <w:t>Whippan</w:t>
      </w:r>
      <w:r>
        <w:rPr>
          <w:b/>
          <w:bCs/>
          <w:sz w:val="20"/>
          <w:szCs w:val="20"/>
        </w:rPr>
        <w:t>y</w:t>
      </w:r>
      <w:r>
        <w:rPr>
          <w:b/>
          <w:bCs/>
          <w:sz w:val="20"/>
          <w:szCs w:val="20"/>
        </w:rPr>
        <w:t>,</w:t>
      </w:r>
      <w:r>
        <w:rPr>
          <w:b/>
          <w:bCs/>
          <w:sz w:val="20"/>
          <w:szCs w:val="20"/>
        </w:rPr>
        <w:t xml:space="preserve"> </w:t>
      </w:r>
      <w:r>
        <w:rPr>
          <w:b/>
          <w:bCs/>
          <w:sz w:val="20"/>
          <w:szCs w:val="20"/>
        </w:rPr>
        <w:t>N</w:t>
      </w:r>
      <w:r>
        <w:rPr>
          <w:b/>
          <w:bCs/>
          <w:sz w:val="20"/>
          <w:szCs w:val="20"/>
        </w:rPr>
        <w:t>J</w:t>
      </w:r>
      <w:r>
        <w:rPr>
          <w:b/>
          <w:bCs/>
          <w:sz w:val="20"/>
          <w:szCs w:val="20"/>
        </w:rPr>
        <w:t xml:space="preserve"> </w:t>
      </w:r>
      <w:r>
        <w:rPr>
          <w:b/>
          <w:bCs/>
          <w:sz w:val="20"/>
          <w:szCs w:val="20"/>
        </w:rPr>
        <w:t>0798</w:t>
      </w:r>
      <w:r>
        <w:rPr>
          <w:b/>
          <w:bCs/>
          <w:sz w:val="20"/>
          <w:szCs w:val="20"/>
        </w:rPr>
        <w:t>1</w:t>
      </w:r>
    </w:p>
    <w:p w:rsidR="00000000" w:rsidRDefault="00A749A6">
      <w:pPr>
        <w:pStyle w:val="a3"/>
        <w:spacing w:before="0" w:beforeAutospacing="0" w:after="0" w:afterAutospacing="0"/>
        <w:jc w:val="center"/>
        <w:rPr>
          <w:sz w:val="20"/>
          <w:szCs w:val="20"/>
        </w:rPr>
      </w:pPr>
      <w:r>
        <w:rPr>
          <w:b/>
          <w:bCs/>
          <w:sz w:val="20"/>
          <w:szCs w:val="20"/>
        </w:rPr>
        <w:t>(</w:t>
      </w:r>
      <w:r>
        <w:rPr>
          <w:b/>
          <w:bCs/>
          <w:sz w:val="20"/>
          <w:szCs w:val="20"/>
        </w:rPr>
        <w:t>97</w:t>
      </w:r>
      <w:r>
        <w:rPr>
          <w:b/>
          <w:bCs/>
          <w:sz w:val="20"/>
          <w:szCs w:val="20"/>
        </w:rPr>
        <w:t>3</w:t>
      </w:r>
      <w:r>
        <w:rPr>
          <w:b/>
          <w:bCs/>
          <w:sz w:val="20"/>
          <w:szCs w:val="20"/>
        </w:rPr>
        <w:t>)</w:t>
      </w:r>
      <w:r>
        <w:rPr>
          <w:b/>
          <w:bCs/>
          <w:sz w:val="20"/>
          <w:szCs w:val="20"/>
        </w:rPr>
        <w:t xml:space="preserve"> </w:t>
      </w:r>
      <w:r>
        <w:rPr>
          <w:b/>
          <w:bCs/>
          <w:sz w:val="20"/>
          <w:szCs w:val="20"/>
        </w:rPr>
        <w:t>887-530</w:t>
      </w:r>
      <w:r>
        <w:rPr>
          <w:b/>
          <w:bCs/>
          <w:sz w:val="20"/>
          <w:szCs w:val="20"/>
        </w:rPr>
        <w:t>0</w:t>
      </w:r>
    </w:p>
    <w:p w:rsidR="00000000" w:rsidRDefault="00A749A6">
      <w:pPr>
        <w:pStyle w:val="a3"/>
        <w:spacing w:before="0" w:beforeAutospacing="0" w:after="0" w:afterAutospacing="0"/>
        <w:jc w:val="center"/>
        <w:rPr>
          <w:sz w:val="20"/>
          <w:szCs w:val="20"/>
        </w:rPr>
      </w:pPr>
      <w:r>
        <w:rPr>
          <w:b/>
          <w:bCs/>
          <w:sz w:val="20"/>
          <w:szCs w:val="20"/>
        </w:rPr>
        <w:t>(Address, including zip code, and telephone number</w:t>
      </w:r>
      <w:r>
        <w:rPr>
          <w:b/>
          <w:bCs/>
          <w:sz w:val="20"/>
          <w:szCs w:val="20"/>
        </w:rPr>
        <w:t>,</w:t>
      </w:r>
    </w:p>
    <w:p w:rsidR="00000000" w:rsidRDefault="00A749A6">
      <w:pPr>
        <w:pStyle w:val="a3"/>
        <w:spacing w:before="0" w:beforeAutospacing="0" w:after="0" w:afterAutospacing="0"/>
        <w:jc w:val="center"/>
        <w:rPr>
          <w:sz w:val="20"/>
          <w:szCs w:val="20"/>
        </w:rPr>
      </w:pPr>
      <w:r>
        <w:rPr>
          <w:b/>
          <w:bCs/>
          <w:sz w:val="20"/>
          <w:szCs w:val="20"/>
        </w:rPr>
        <w:t>including area code, of registrant’s principal executive offices</w:t>
      </w:r>
      <w:r>
        <w:rPr>
          <w:b/>
          <w:bCs/>
          <w:sz w:val="20"/>
          <w:szCs w:val="20"/>
        </w:rPr>
        <w:t>)</w:t>
      </w:r>
    </w:p>
    <w:p w:rsidR="00000000" w:rsidRDefault="00A749A6">
      <w:pPr>
        <w:pStyle w:val="a3"/>
        <w:pBdr>
          <w:bottom w:val="single" w:sz="4" w:space="1" w:color="auto"/>
        </w:pBdr>
        <w:spacing w:before="0" w:beforeAutospacing="0" w:after="0" w:afterAutospacing="0"/>
        <w:ind w:left="4762" w:right="4762"/>
        <w:jc w:val="center"/>
        <w:rPr>
          <w:sz w:val="20"/>
          <w:szCs w:val="20"/>
        </w:rPr>
      </w:pPr>
      <w:r>
        <w:rPr>
          <w:sz w:val="20"/>
          <w:szCs w:val="20"/>
        </w:rPr>
        <w:t> </w:t>
      </w:r>
    </w:p>
    <w:p w:rsidR="00000000" w:rsidRDefault="00A749A6">
      <w:pPr>
        <w:pStyle w:val="a3"/>
        <w:spacing w:before="160" w:beforeAutospacing="0" w:after="0" w:afterAutospacing="0"/>
        <w:rPr>
          <w:sz w:val="20"/>
          <w:szCs w:val="20"/>
        </w:rPr>
      </w:pPr>
      <w:r>
        <w:rPr>
          <w:sz w:val="20"/>
          <w:szCs w:val="20"/>
        </w:rPr>
        <w:t>Securities registered pursuant to Section 12(b) of the Act</w:t>
      </w:r>
      <w:r>
        <w:rPr>
          <w:sz w:val="20"/>
          <w:szCs w:val="20"/>
        </w:rPr>
        <w:t>:</w:t>
      </w:r>
    </w:p>
    <w:p w:rsidR="00000000" w:rsidRDefault="00A749A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01"/>
        <w:gridCol w:w="110"/>
        <w:gridCol w:w="3282"/>
        <w:gridCol w:w="111"/>
        <w:gridCol w:w="2402"/>
      </w:tblGrid>
      <w:tr w:rsidR="00000000">
        <w:trPr>
          <w:tblCellSpacing w:w="15" w:type="dxa"/>
        </w:trPr>
        <w:tc>
          <w:tcPr>
            <w:tcW w:w="1449" w:type="pct"/>
            <w:vAlign w:val="center"/>
            <w:hideMark/>
          </w:tcPr>
          <w:p w:rsidR="00000000" w:rsidRDefault="00A749A6">
            <w:pPr>
              <w:rPr>
                <w:sz w:val="20"/>
                <w:szCs w:val="20"/>
              </w:rPr>
            </w:pPr>
          </w:p>
        </w:tc>
        <w:tc>
          <w:tcPr>
            <w:tcW w:w="50" w:type="pct"/>
            <w:vAlign w:val="center"/>
            <w:hideMark/>
          </w:tcPr>
          <w:p w:rsidR="00000000" w:rsidRDefault="00A749A6">
            <w:pPr>
              <w:rPr>
                <w:rFonts w:eastAsia="Times New Roman"/>
                <w:sz w:val="20"/>
                <w:szCs w:val="20"/>
              </w:rPr>
            </w:pPr>
          </w:p>
        </w:tc>
        <w:tc>
          <w:tcPr>
            <w:tcW w:w="200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1449" w:type="pct"/>
            <w:vAlign w:val="center"/>
            <w:hideMark/>
          </w:tcPr>
          <w:p w:rsidR="00000000" w:rsidRDefault="00A749A6">
            <w:pPr>
              <w:rPr>
                <w:rFonts w:eastAsia="Times New Roman"/>
                <w:sz w:val="20"/>
                <w:szCs w:val="20"/>
              </w:rPr>
            </w:pPr>
          </w:p>
        </w:tc>
      </w:tr>
      <w:tr w:rsidR="00000000">
        <w:trPr>
          <w:trHeight w:val="160"/>
          <w:tblCellSpacing w:w="15" w:type="dxa"/>
        </w:trPr>
        <w:tc>
          <w:tcPr>
            <w:tcW w:w="0" w:type="auto"/>
            <w:tcBorders>
              <w:bottom w:val="single" w:sz="4" w:space="0" w:color="auto"/>
            </w:tcBorders>
            <w:vAlign w:val="bottom"/>
            <w:hideMark/>
          </w:tcPr>
          <w:p w:rsidR="00000000" w:rsidRDefault="00A749A6">
            <w:pPr>
              <w:pStyle w:val="a3"/>
              <w:spacing w:before="0" w:beforeAutospacing="0" w:after="0" w:afterAutospacing="0"/>
              <w:jc w:val="center"/>
              <w:rPr>
                <w:sz w:val="16"/>
                <w:szCs w:val="16"/>
              </w:rPr>
            </w:pPr>
            <w:r>
              <w:rPr>
                <w:sz w:val="16"/>
                <w:szCs w:val="16"/>
              </w:rPr>
              <w:t>Title of each clas</w:t>
            </w:r>
            <w:r>
              <w:rPr>
                <w:sz w:val="16"/>
                <w:szCs w:val="16"/>
              </w:rPr>
              <w:t>s</w:t>
            </w:r>
          </w:p>
        </w:tc>
        <w:tc>
          <w:tcPr>
            <w:tcW w:w="0" w:type="auto"/>
            <w:hideMark/>
          </w:tcPr>
          <w:p w:rsidR="00000000" w:rsidRDefault="00A749A6">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rsidR="00000000" w:rsidRDefault="00A749A6">
            <w:pPr>
              <w:pStyle w:val="a3"/>
              <w:spacing w:before="0" w:beforeAutospacing="0" w:after="0" w:afterAutospacing="0"/>
              <w:jc w:val="center"/>
              <w:rPr>
                <w:sz w:val="16"/>
                <w:szCs w:val="16"/>
              </w:rPr>
            </w:pPr>
            <w:r>
              <w:rPr>
                <w:sz w:val="16"/>
                <w:szCs w:val="16"/>
              </w:rPr>
              <w:t>Trading Symbo</w:t>
            </w:r>
            <w:r>
              <w:rPr>
                <w:sz w:val="16"/>
                <w:szCs w:val="16"/>
              </w:rPr>
              <w:t>l</w:t>
            </w:r>
          </w:p>
        </w:tc>
        <w:tc>
          <w:tcPr>
            <w:tcW w:w="0" w:type="auto"/>
            <w:hideMark/>
          </w:tcPr>
          <w:p w:rsidR="00000000" w:rsidRDefault="00A749A6">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rsidR="00000000" w:rsidRDefault="00A749A6">
            <w:pPr>
              <w:pStyle w:val="a3"/>
              <w:spacing w:before="0" w:beforeAutospacing="0" w:after="0" w:afterAutospacing="0"/>
              <w:jc w:val="center"/>
              <w:rPr>
                <w:sz w:val="16"/>
                <w:szCs w:val="16"/>
              </w:rPr>
            </w:pPr>
            <w:r>
              <w:rPr>
                <w:sz w:val="16"/>
                <w:szCs w:val="16"/>
              </w:rPr>
              <w:t>Name of exchange on which registere</w:t>
            </w:r>
            <w:r>
              <w:rPr>
                <w:sz w:val="16"/>
                <w:szCs w:val="16"/>
              </w:rPr>
              <w:t>d</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20"/>
                <w:szCs w:val="20"/>
              </w:rPr>
            </w:pPr>
            <w:r>
              <w:rPr>
                <w:sz w:val="16"/>
                <w:szCs w:val="16"/>
              </w:rPr>
              <w:t>Common Unit</w:t>
            </w:r>
            <w:r>
              <w:rPr>
                <w:sz w:val="16"/>
                <w:szCs w:val="16"/>
              </w:rPr>
              <w:t>s</w:t>
            </w:r>
          </w:p>
        </w:tc>
        <w:tc>
          <w:tcPr>
            <w:tcW w:w="0" w:type="auto"/>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20"/>
                <w:szCs w:val="20"/>
              </w:rPr>
            </w:pPr>
            <w:r>
              <w:rPr>
                <w:sz w:val="16"/>
                <w:szCs w:val="16"/>
              </w:rPr>
              <w:t>SP</w:t>
            </w:r>
            <w:r>
              <w:rPr>
                <w:sz w:val="16"/>
                <w:szCs w:val="16"/>
              </w:rPr>
              <w:t>H</w:t>
            </w:r>
          </w:p>
        </w:tc>
        <w:tc>
          <w:tcPr>
            <w:tcW w:w="0" w:type="auto"/>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20"/>
                <w:szCs w:val="20"/>
              </w:rPr>
            </w:pPr>
            <w:r>
              <w:rPr>
                <w:sz w:val="16"/>
                <w:szCs w:val="16"/>
              </w:rPr>
              <w:t>New York Stock Exchang</w:t>
            </w:r>
            <w:r>
              <w:rPr>
                <w:sz w:val="16"/>
                <w:szCs w:val="16"/>
              </w:rPr>
              <w:t>e</w:t>
            </w:r>
          </w:p>
        </w:tc>
      </w:tr>
    </w:tbl>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Indicate by check mark whether the registrant (1) has filed all reports required to be filed by Section 13 or 15(d) of the Securiti</w:t>
      </w:r>
      <w:r>
        <w:rPr>
          <w:sz w:val="20"/>
          <w:szCs w:val="20"/>
        </w:rPr>
        <w:t>es Exchange Act of 1934 during the preceding 12 months (or for such shorter period that the registrant was required to file such reports), and (2) has been subject to such filing requirements for the past 90 days.</w:t>
      </w:r>
      <w:r>
        <w:rPr>
          <w:sz w:val="20"/>
          <w:szCs w:val="20"/>
        </w:rPr>
        <w:t xml:space="preserve"> </w:t>
      </w:r>
      <w:r>
        <w:rPr>
          <w:rFonts w:ascii="Segoe UI Symbol" w:hAnsi="Segoe UI Symbol"/>
          <w:sz w:val="20"/>
          <w:szCs w:val="20"/>
        </w:rPr>
        <w:t>☒</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sz w:val="20"/>
          <w:szCs w:val="20"/>
        </w:rPr>
        <w:t>☐</w:t>
      </w:r>
      <w:r>
        <w:rPr>
          <w:sz w:val="20"/>
          <w:szCs w:val="20"/>
        </w:rPr>
        <w:t xml:space="preserve"> N</w:t>
      </w:r>
      <w:r>
        <w:rPr>
          <w:sz w:val="20"/>
          <w:szCs w:val="20"/>
        </w:rPr>
        <w:t>o</w:t>
      </w:r>
    </w:p>
    <w:p w:rsidR="00000000" w:rsidRDefault="00A749A6">
      <w:pPr>
        <w:pStyle w:val="a3"/>
        <w:spacing w:before="160" w:beforeAutospacing="0" w:after="0" w:afterAutospacing="0"/>
        <w:jc w:val="both"/>
        <w:rPr>
          <w:sz w:val="20"/>
          <w:szCs w:val="20"/>
        </w:rPr>
      </w:pPr>
      <w:r>
        <w:rPr>
          <w:sz w:val="20"/>
          <w:szCs w:val="20"/>
        </w:rPr>
        <w:t xml:space="preserve">Indicate by check mark whether </w:t>
      </w:r>
      <w:r>
        <w:rPr>
          <w:sz w:val="20"/>
          <w:szCs w:val="20"/>
        </w:rPr>
        <w:t>the registrant has submitted electronically every Interactive Data File required to be submitted pursuant to Rule 405 of Regulation S-T (§232.405 of this chapter) during the preceding 12 months (or for such shorter period that the registrant was required t</w:t>
      </w:r>
      <w:r>
        <w:rPr>
          <w:sz w:val="20"/>
          <w:szCs w:val="20"/>
        </w:rPr>
        <w:t>o submit such files).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sz w:val="20"/>
          <w:szCs w:val="20"/>
        </w:rPr>
        <w:t>☒</w:t>
      </w:r>
      <w:r>
        <w:rPr>
          <w:sz w:val="20"/>
          <w:szCs w:val="20"/>
        </w:rPr>
        <w:t xml:space="preserve"> No</w:t>
      </w:r>
      <w:r>
        <w:rPr>
          <w:sz w:val="20"/>
          <w:szCs w:val="20"/>
        </w:rPr>
        <w:t xml:space="preserve"> </w:t>
      </w:r>
      <w:r>
        <w:rPr>
          <w:rFonts w:ascii="Segoe UI Symbol" w:hAnsi="Segoe UI Symbol"/>
          <w:sz w:val="20"/>
          <w:szCs w:val="20"/>
        </w:rPr>
        <w:t>☐</w:t>
      </w:r>
    </w:p>
    <w:p w:rsidR="00000000" w:rsidRDefault="00A749A6">
      <w:pPr>
        <w:pStyle w:val="a3"/>
        <w:spacing w:before="160" w:beforeAutospacing="0" w:after="0" w:afterAutospacing="0"/>
        <w:jc w:val="both"/>
        <w:rPr>
          <w:sz w:val="20"/>
          <w:szCs w:val="20"/>
        </w:rPr>
      </w:pPr>
      <w:r>
        <w:rPr>
          <w:sz w:val="20"/>
          <w:szCs w:val="20"/>
        </w:rPr>
        <w:t xml:space="preserve">Indicate by check mark whether the registrant is a large accelerated filer, an accelerated filer, a non-accelerated filer, a smaller reporting company, or an emerging growth company. See the definitions of </w:t>
      </w:r>
      <w:r>
        <w:rPr>
          <w:sz w:val="20"/>
          <w:szCs w:val="20"/>
        </w:rPr>
        <w:lastRenderedPageBreak/>
        <w:t>“large accelerate</w:t>
      </w:r>
      <w:r>
        <w:rPr>
          <w:sz w:val="20"/>
          <w:szCs w:val="20"/>
        </w:rPr>
        <w:t>d filer,” “accelerated filer,” “smaller reporting company,” and “emerging growth company” in Rule 12b-2 of the Exchange Act</w:t>
      </w:r>
      <w:r>
        <w:rPr>
          <w:sz w:val="20"/>
          <w:szCs w:val="20"/>
        </w:rPr>
        <w:t>.</w:t>
      </w:r>
    </w:p>
    <w:p w:rsidR="00000000" w:rsidRDefault="00A749A6">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15"/>
        <w:gridCol w:w="353"/>
        <w:gridCol w:w="3771"/>
        <w:gridCol w:w="1899"/>
        <w:gridCol w:w="368"/>
      </w:tblGrid>
      <w:tr w:rsidR="00000000">
        <w:trPr>
          <w:tblCellSpacing w:w="15" w:type="dxa"/>
        </w:trPr>
        <w:tc>
          <w:tcPr>
            <w:tcW w:w="1149" w:type="pct"/>
            <w:vAlign w:val="center"/>
            <w:hideMark/>
          </w:tcPr>
          <w:p w:rsidR="00000000" w:rsidRDefault="00A749A6">
            <w:pPr>
              <w:rPr>
                <w:sz w:val="20"/>
                <w:szCs w:val="20"/>
              </w:rPr>
            </w:pPr>
          </w:p>
        </w:tc>
        <w:tc>
          <w:tcPr>
            <w:tcW w:w="199" w:type="pct"/>
            <w:vAlign w:val="center"/>
            <w:hideMark/>
          </w:tcPr>
          <w:p w:rsidR="00000000" w:rsidRDefault="00A749A6">
            <w:pPr>
              <w:rPr>
                <w:rFonts w:eastAsia="Times New Roman"/>
                <w:sz w:val="20"/>
                <w:szCs w:val="20"/>
              </w:rPr>
            </w:pPr>
          </w:p>
        </w:tc>
        <w:tc>
          <w:tcPr>
            <w:tcW w:w="2300" w:type="pct"/>
            <w:vAlign w:val="center"/>
            <w:hideMark/>
          </w:tcPr>
          <w:p w:rsidR="00000000" w:rsidRDefault="00A749A6">
            <w:pPr>
              <w:rPr>
                <w:rFonts w:eastAsia="Times New Roman"/>
                <w:sz w:val="20"/>
                <w:szCs w:val="20"/>
              </w:rPr>
            </w:pPr>
          </w:p>
        </w:tc>
        <w:tc>
          <w:tcPr>
            <w:tcW w:w="1149" w:type="pct"/>
            <w:vAlign w:val="center"/>
            <w:hideMark/>
          </w:tcPr>
          <w:p w:rsidR="00000000" w:rsidRDefault="00A749A6">
            <w:pPr>
              <w:rPr>
                <w:rFonts w:eastAsia="Times New Roman"/>
                <w:sz w:val="20"/>
                <w:szCs w:val="20"/>
              </w:rPr>
            </w:pPr>
          </w:p>
        </w:tc>
        <w:tc>
          <w:tcPr>
            <w:tcW w:w="199" w:type="pct"/>
            <w:vAlign w:val="center"/>
            <w:hideMark/>
          </w:tcPr>
          <w:p w:rsidR="00000000" w:rsidRDefault="00A749A6">
            <w:pPr>
              <w:rPr>
                <w:rFonts w:eastAsia="Times New Roman"/>
                <w:sz w:val="20"/>
                <w:szCs w:val="20"/>
              </w:rPr>
            </w:pPr>
          </w:p>
        </w:tc>
      </w:tr>
      <w:tr w:rsidR="00000000">
        <w:trPr>
          <w:trHeight w:val="14"/>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Large accelerated file</w:t>
            </w:r>
            <w:r>
              <w:rPr>
                <w:sz w:val="20"/>
                <w:szCs w:val="20"/>
              </w:rPr>
              <w:t>r</w:t>
            </w:r>
          </w:p>
        </w:tc>
        <w:tc>
          <w:tcPr>
            <w:tcW w:w="0" w:type="auto"/>
            <w:hideMark/>
          </w:tcPr>
          <w:p w:rsidR="00000000" w:rsidRDefault="00A749A6">
            <w:pPr>
              <w:pStyle w:val="a3"/>
              <w:spacing w:before="0" w:beforeAutospacing="0" w:after="0" w:afterAutospacing="0"/>
              <w:rPr>
                <w:sz w:val="20"/>
                <w:szCs w:val="20"/>
              </w:rPr>
            </w:pPr>
            <w:r>
              <w:rPr>
                <w:rFonts w:ascii="Segoe UI Symbol" w:hAnsi="Segoe UI Symbol"/>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Accelerated file</w:t>
            </w:r>
            <w:r>
              <w:rPr>
                <w:sz w:val="20"/>
                <w:szCs w:val="20"/>
              </w:rPr>
              <w:t>r</w:t>
            </w:r>
          </w:p>
        </w:tc>
        <w:tc>
          <w:tcPr>
            <w:tcW w:w="0" w:type="auto"/>
            <w:hideMark/>
          </w:tcPr>
          <w:p w:rsidR="00000000" w:rsidRDefault="00A749A6">
            <w:pPr>
              <w:pStyle w:val="a3"/>
              <w:spacing w:before="0" w:beforeAutospacing="0" w:after="0" w:afterAutospacing="0"/>
              <w:rPr>
                <w:sz w:val="20"/>
                <w:szCs w:val="20"/>
              </w:rPr>
            </w:pPr>
            <w:r>
              <w:rPr>
                <w:rFonts w:ascii="Segoe UI Symbol" w:hAnsi="Segoe UI Symbol"/>
                <w:sz w:val="20"/>
                <w:szCs w:val="20"/>
              </w:rPr>
              <w:t>☐</w:t>
            </w:r>
          </w:p>
        </w:tc>
      </w:tr>
      <w:tr w:rsidR="00000000">
        <w:trPr>
          <w:trHeight w:val="14"/>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Non-accelerated file</w:t>
            </w:r>
            <w:r>
              <w:rPr>
                <w:sz w:val="20"/>
                <w:szCs w:val="20"/>
              </w:rPr>
              <w:t>r</w:t>
            </w:r>
          </w:p>
        </w:tc>
        <w:tc>
          <w:tcPr>
            <w:tcW w:w="0" w:type="auto"/>
            <w:hideMark/>
          </w:tcPr>
          <w:p w:rsidR="00000000" w:rsidRDefault="00A749A6">
            <w:pPr>
              <w:pStyle w:val="a3"/>
              <w:spacing w:before="0" w:beforeAutospacing="0" w:after="0" w:afterAutospacing="0"/>
              <w:rPr>
                <w:sz w:val="20"/>
                <w:szCs w:val="20"/>
              </w:rPr>
            </w:pPr>
            <w:r>
              <w:rPr>
                <w:rFonts w:ascii="Segoe UI Symbol" w:hAnsi="Segoe UI Symbol"/>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Smaller reporting compan</w:t>
            </w:r>
            <w:r>
              <w:rPr>
                <w:sz w:val="20"/>
                <w:szCs w:val="20"/>
              </w:rPr>
              <w:t>y</w:t>
            </w:r>
          </w:p>
        </w:tc>
        <w:tc>
          <w:tcPr>
            <w:tcW w:w="0" w:type="auto"/>
            <w:hideMark/>
          </w:tcPr>
          <w:p w:rsidR="00000000" w:rsidRDefault="00A749A6">
            <w:pPr>
              <w:pStyle w:val="a3"/>
              <w:spacing w:before="0" w:beforeAutospacing="0" w:after="0" w:afterAutospacing="0"/>
              <w:rPr>
                <w:sz w:val="20"/>
                <w:szCs w:val="20"/>
              </w:rPr>
            </w:pPr>
            <w:r>
              <w:rPr>
                <w:rFonts w:ascii="Segoe UI Symbol" w:hAnsi="Segoe UI Symbol"/>
                <w:sz w:val="20"/>
                <w:szCs w:val="20"/>
              </w:rPr>
              <w:t>☐</w:t>
            </w:r>
          </w:p>
        </w:tc>
      </w:tr>
      <w:tr w:rsidR="00000000">
        <w:trPr>
          <w:trHeight w:val="14"/>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Emerging growth compan</w:t>
            </w:r>
            <w:r>
              <w:rPr>
                <w:sz w:val="20"/>
                <w:szCs w:val="20"/>
              </w:rPr>
              <w:t>y</w:t>
            </w:r>
          </w:p>
        </w:tc>
        <w:tc>
          <w:tcPr>
            <w:tcW w:w="0" w:type="auto"/>
            <w:hideMark/>
          </w:tcPr>
          <w:p w:rsidR="00000000" w:rsidRDefault="00A749A6">
            <w:pPr>
              <w:pStyle w:val="a3"/>
              <w:spacing w:before="0" w:beforeAutospacing="0" w:after="0" w:afterAutospacing="0"/>
              <w:rPr>
                <w:sz w:val="20"/>
                <w:szCs w:val="20"/>
              </w:rPr>
            </w:pPr>
            <w:r>
              <w:rPr>
                <w:rFonts w:ascii="Segoe UI Symbol" w:hAnsi="Segoe UI Symbol"/>
                <w:sz w:val="20"/>
                <w:szCs w:val="20"/>
              </w:rPr>
              <w:t>☐</w:t>
            </w:r>
          </w:p>
        </w:tc>
      </w:tr>
    </w:tbl>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If an emerging growth company, indicate by check mark if the registrant has elected not to use the extended transition period for complying with any new or revised financial accounting standards provided pursuant to Section 13(a) of the Exchange Act.</w:t>
      </w:r>
      <w:r>
        <w:rPr>
          <w:sz w:val="20"/>
          <w:szCs w:val="20"/>
        </w:rPr>
        <w:t xml:space="preserve"> </w:t>
      </w:r>
      <w:r>
        <w:rPr>
          <w:rFonts w:ascii="Segoe UI Symbol" w:hAnsi="Segoe UI Symbol"/>
          <w:sz w:val="20"/>
          <w:szCs w:val="20"/>
        </w:rPr>
        <w:t>☐</w:t>
      </w:r>
    </w:p>
    <w:p w:rsidR="00000000" w:rsidRDefault="00A749A6">
      <w:pPr>
        <w:pStyle w:val="a3"/>
        <w:spacing w:before="160" w:beforeAutospacing="0" w:after="0" w:afterAutospacing="0"/>
        <w:jc w:val="both"/>
        <w:rPr>
          <w:sz w:val="20"/>
          <w:szCs w:val="20"/>
        </w:rPr>
      </w:pPr>
      <w:r>
        <w:rPr>
          <w:sz w:val="20"/>
          <w:szCs w:val="20"/>
        </w:rPr>
        <w:t>Ind</w:t>
      </w:r>
      <w:r>
        <w:rPr>
          <w:sz w:val="20"/>
          <w:szCs w:val="20"/>
        </w:rPr>
        <w:t>icate by check mark whether the registrant is a shell company (as defined in Rule 12b-2 of the Exchange Act). Yes</w:t>
      </w:r>
      <w:r>
        <w:rPr>
          <w:sz w:val="20"/>
          <w:szCs w:val="20"/>
        </w:rPr>
        <w:t xml:space="preserve"> </w:t>
      </w:r>
      <w:r>
        <w:rPr>
          <w:rFonts w:ascii="Segoe UI Symbol" w:hAnsi="Segoe UI Symbol"/>
          <w:sz w:val="20"/>
          <w:szCs w:val="20"/>
        </w:rPr>
        <w:t>☐</w:t>
      </w:r>
      <w:r>
        <w:rPr>
          <w:sz w:val="20"/>
          <w:szCs w:val="20"/>
        </w:rPr>
        <w:t xml:space="preserve"> No</w:t>
      </w:r>
      <w:r>
        <w:rPr>
          <w:sz w:val="20"/>
          <w:szCs w:val="20"/>
        </w:rPr>
        <w:t xml:space="preserve"> </w:t>
      </w:r>
      <w:r>
        <w:rPr>
          <w:rFonts w:ascii="Segoe UI Symbol" w:hAnsi="Segoe UI Symbol"/>
          <w:sz w:val="20"/>
          <w:szCs w:val="20"/>
        </w:rPr>
        <w:t>☒</w:t>
      </w:r>
    </w:p>
    <w:p w:rsidR="00000000" w:rsidRDefault="00A749A6">
      <w:pPr>
        <w:pStyle w:val="a3"/>
        <w:spacing w:before="160" w:beforeAutospacing="0" w:after="0" w:afterAutospacing="0"/>
        <w:jc w:val="both"/>
        <w:rPr>
          <w:sz w:val="20"/>
          <w:szCs w:val="20"/>
        </w:rPr>
      </w:pPr>
      <w:r>
        <w:rPr>
          <w:sz w:val="20"/>
          <w:szCs w:val="20"/>
        </w:rPr>
        <w:t>At August 1, 2022, there were</w:t>
      </w:r>
      <w:r>
        <w:rPr>
          <w:sz w:val="20"/>
          <w:szCs w:val="20"/>
        </w:rPr>
        <w:t xml:space="preserve"> </w:t>
      </w:r>
      <w:r>
        <w:rPr>
          <w:sz w:val="20"/>
          <w:szCs w:val="20"/>
        </w:rPr>
        <w:t>62,986,86</w:t>
      </w:r>
      <w:r>
        <w:rPr>
          <w:sz w:val="20"/>
          <w:szCs w:val="20"/>
        </w:rPr>
        <w:t>2</w:t>
      </w:r>
      <w:r>
        <w:rPr>
          <w:sz w:val="20"/>
          <w:szCs w:val="20"/>
        </w:rPr>
        <w:t xml:space="preserve"> Common Units of Suburban Propane Partners, L.P. outstanding</w:t>
      </w:r>
      <w:r>
        <w:rPr>
          <w:sz w:val="20"/>
          <w:szCs w:val="20"/>
        </w:rPr>
        <w:t>.</w:t>
      </w:r>
    </w:p>
    <w:p w:rsidR="00000000" w:rsidRDefault="00A749A6">
      <w:pPr>
        <w:pStyle w:val="a3"/>
        <w:pBdr>
          <w:bottom w:val="double" w:sz="6" w:space="1" w:color="auto"/>
        </w:pBdr>
        <w:spacing w:before="0" w:beforeAutospacing="0" w:after="0" w:afterAutospacing="0"/>
        <w:jc w:val="both"/>
        <w:rPr>
          <w:sz w:val="20"/>
          <w:szCs w:val="20"/>
        </w:rPr>
      </w:pPr>
      <w:r>
        <w:rPr>
          <w:sz w:val="20"/>
          <w:szCs w:val="20"/>
        </w:rPr>
        <w:t> </w:t>
      </w:r>
    </w:p>
    <w:p w:rsidR="00000000" w:rsidRDefault="00A749A6">
      <w:pPr>
        <w:pStyle w:val="a3"/>
        <w:spacing w:before="240" w:beforeAutospacing="0" w:after="0" w:afterAutospacing="0"/>
        <w:jc w:val="center"/>
        <w:rPr>
          <w:sz w:val="20"/>
          <w:szCs w:val="20"/>
        </w:rPr>
      </w:pPr>
      <w:r>
        <w:rPr>
          <w:sz w:val="20"/>
          <w:szCs w:val="20"/>
        </w:rPr>
        <w:t> </w:t>
      </w:r>
    </w:p>
    <w:p w:rsidR="00000000" w:rsidRDefault="00A749A6">
      <w:pPr>
        <w:rPr>
          <w:rFonts w:eastAsia="Times New Roman"/>
        </w:rPr>
      </w:pPr>
      <w:r>
        <w:rPr>
          <w:rFonts w:eastAsia="Times New Roman"/>
        </w:rPr>
        <w:pict>
          <v:rect id="_x0000_i1025" style="width:0;height:1.5pt" o:hralign="center" o:hrstd="t" o:hr="t" fillcolor="#a0a0a0" stroked="f"/>
        </w:pict>
      </w:r>
    </w:p>
    <w:p w:rsidR="00000000" w:rsidRDefault="00A749A6">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0" w:beforeAutospacing="0" w:after="0" w:afterAutospacing="0"/>
        <w:jc w:val="center"/>
        <w:rPr>
          <w:sz w:val="20"/>
          <w:szCs w:val="20"/>
        </w:rPr>
      </w:pPr>
      <w:r>
        <w:rPr>
          <w:b/>
          <w:bCs/>
          <w:sz w:val="20"/>
          <w:szCs w:val="20"/>
        </w:rPr>
        <w:t>SUBURBAN PROPANE PARTNE</w:t>
      </w:r>
      <w:r>
        <w:rPr>
          <w:b/>
          <w:bCs/>
          <w:sz w:val="20"/>
          <w:szCs w:val="20"/>
        </w:rPr>
        <w:t>R</w:t>
      </w:r>
      <w:r>
        <w:rPr>
          <w:b/>
          <w:bCs/>
          <w:sz w:val="20"/>
          <w:szCs w:val="20"/>
        </w:rPr>
        <w:t>S, L.P. AND SUBSIDIARIE</w:t>
      </w:r>
      <w:r>
        <w:rPr>
          <w:b/>
          <w:bCs/>
          <w:sz w:val="20"/>
          <w:szCs w:val="20"/>
        </w:rPr>
        <w:t>S</w:t>
      </w:r>
    </w:p>
    <w:p w:rsidR="00000000" w:rsidRDefault="00A749A6">
      <w:pPr>
        <w:pStyle w:val="a3"/>
        <w:spacing w:before="240" w:beforeAutospacing="0" w:after="0" w:afterAutospacing="0"/>
        <w:jc w:val="center"/>
        <w:rPr>
          <w:sz w:val="20"/>
          <w:szCs w:val="20"/>
        </w:rPr>
      </w:pPr>
      <w:r>
        <w:rPr>
          <w:b/>
          <w:bCs/>
          <w:sz w:val="20"/>
          <w:szCs w:val="20"/>
        </w:rPr>
        <w:t>INDEX TO FORM 10-</w:t>
      </w:r>
      <w:r>
        <w:rPr>
          <w:b/>
          <w:bCs/>
          <w:sz w:val="20"/>
          <w:szCs w:val="20"/>
        </w:rPr>
        <w:t>Q</w:t>
      </w:r>
    </w:p>
    <w:p w:rsidR="00000000" w:rsidRDefault="00A749A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8"/>
        <w:gridCol w:w="161"/>
        <w:gridCol w:w="6853"/>
        <w:gridCol w:w="110"/>
        <w:gridCol w:w="464"/>
      </w:tblGrid>
      <w:tr w:rsidR="00000000">
        <w:trPr>
          <w:tblCellSpacing w:w="15" w:type="dxa"/>
        </w:trPr>
        <w:tc>
          <w:tcPr>
            <w:tcW w:w="417" w:type="pct"/>
            <w:vAlign w:val="center"/>
            <w:hideMark/>
          </w:tcPr>
          <w:p w:rsidR="00000000" w:rsidRDefault="00A749A6">
            <w:pPr>
              <w:rPr>
                <w:sz w:val="20"/>
                <w:szCs w:val="20"/>
              </w:rPr>
            </w:pPr>
          </w:p>
        </w:tc>
        <w:tc>
          <w:tcPr>
            <w:tcW w:w="83" w:type="pct"/>
            <w:vAlign w:val="center"/>
            <w:hideMark/>
          </w:tcPr>
          <w:p w:rsidR="00000000" w:rsidRDefault="00A749A6">
            <w:pPr>
              <w:rPr>
                <w:rFonts w:eastAsia="Times New Roman"/>
                <w:sz w:val="20"/>
                <w:szCs w:val="20"/>
              </w:rPr>
            </w:pPr>
          </w:p>
        </w:tc>
        <w:tc>
          <w:tcPr>
            <w:tcW w:w="4199"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250" w:type="pct"/>
            <w:vAlign w:val="center"/>
            <w:hideMark/>
          </w:tcPr>
          <w:p w:rsidR="00000000" w:rsidRDefault="00A749A6">
            <w:pPr>
              <w:rPr>
                <w:rFonts w:eastAsia="Times New Roman"/>
                <w:sz w:val="20"/>
                <w:szCs w:val="20"/>
              </w:rPr>
            </w:pPr>
          </w:p>
        </w:tc>
      </w:tr>
      <w:tr w:rsidR="00000000">
        <w:trPr>
          <w:trHeight w:val="14"/>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jc w:val="center"/>
              <w:rPr>
                <w:sz w:val="20"/>
                <w:szCs w:val="20"/>
              </w:rPr>
            </w:pPr>
            <w:r>
              <w:rPr>
                <w:sz w:val="20"/>
                <w:szCs w:val="20"/>
              </w:rPr>
              <w:t> </w:t>
            </w:r>
          </w:p>
        </w:tc>
        <w:tc>
          <w:tcPr>
            <w:tcW w:w="0" w:type="auto"/>
            <w:hideMark/>
          </w:tcPr>
          <w:p w:rsidR="00000000" w:rsidRDefault="00A749A6">
            <w:pPr>
              <w:pStyle w:val="a3"/>
              <w:spacing w:before="0" w:beforeAutospacing="0" w:after="0" w:afterAutospacing="0"/>
              <w:jc w:val="center"/>
              <w:rPr>
                <w:sz w:val="20"/>
                <w:szCs w:val="20"/>
              </w:rPr>
            </w:pPr>
            <w:r>
              <w:rPr>
                <w:sz w:val="20"/>
                <w:szCs w:val="20"/>
              </w:rPr>
              <w:t> </w:t>
            </w:r>
          </w:p>
        </w:tc>
        <w:tc>
          <w:tcPr>
            <w:tcW w:w="0" w:type="auto"/>
            <w:hideMark/>
          </w:tcPr>
          <w:p w:rsidR="00000000" w:rsidRDefault="00A749A6">
            <w:pPr>
              <w:pStyle w:val="a3"/>
              <w:spacing w:before="0" w:beforeAutospacing="0" w:after="0" w:afterAutospacing="0"/>
              <w:jc w:val="center"/>
              <w:rPr>
                <w:sz w:val="20"/>
                <w:szCs w:val="20"/>
              </w:rPr>
            </w:pPr>
            <w:r>
              <w:rPr>
                <w:sz w:val="20"/>
                <w:szCs w:val="20"/>
              </w:rPr>
              <w:t> </w:t>
            </w:r>
          </w:p>
        </w:tc>
        <w:tc>
          <w:tcPr>
            <w:tcW w:w="0" w:type="auto"/>
            <w:tcBorders>
              <w:bottom w:val="single" w:sz="4" w:space="0" w:color="auto"/>
            </w:tcBorders>
            <w:vAlign w:val="bottom"/>
            <w:hideMark/>
          </w:tcPr>
          <w:p w:rsidR="00000000" w:rsidRDefault="00A749A6">
            <w:pPr>
              <w:pStyle w:val="a3"/>
              <w:spacing w:before="0" w:beforeAutospacing="0" w:after="0" w:afterAutospacing="0"/>
              <w:jc w:val="center"/>
              <w:rPr>
                <w:sz w:val="20"/>
                <w:szCs w:val="20"/>
              </w:rPr>
            </w:pPr>
            <w:r>
              <w:rPr>
                <w:sz w:val="20"/>
                <w:szCs w:val="20"/>
              </w:rPr>
              <w:t>Pag</w:t>
            </w:r>
            <w:r>
              <w:rPr>
                <w:sz w:val="20"/>
                <w:szCs w:val="20"/>
              </w:rPr>
              <w:t>e</w:t>
            </w:r>
          </w:p>
        </w:tc>
      </w:tr>
      <w:tr w:rsidR="00000000">
        <w:trPr>
          <w:trHeight w:val="14"/>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jc w:val="center"/>
              <w:rPr>
                <w:sz w:val="20"/>
                <w:szCs w:val="20"/>
              </w:rPr>
            </w:pPr>
            <w:r>
              <w:rPr>
                <w:sz w:val="20"/>
                <w:szCs w:val="20"/>
              </w:rPr>
              <w:t> </w:t>
            </w:r>
          </w:p>
        </w:tc>
        <w:tc>
          <w:tcPr>
            <w:tcW w:w="0" w:type="auto"/>
            <w:hideMark/>
          </w:tcPr>
          <w:p w:rsidR="00000000" w:rsidRDefault="00A749A6">
            <w:pPr>
              <w:pStyle w:val="a3"/>
              <w:spacing w:before="0" w:beforeAutospacing="0" w:after="0" w:afterAutospacing="0"/>
              <w:jc w:val="center"/>
              <w:rPr>
                <w:sz w:val="20"/>
                <w:szCs w:val="20"/>
              </w:rPr>
            </w:pPr>
            <w:hyperlink w:anchor="part_i_financial_information" w:history="1">
              <w:r>
                <w:rPr>
                  <w:rStyle w:val="a4"/>
                  <w:sz w:val="20"/>
                  <w:szCs w:val="20"/>
                </w:rPr>
                <w:t>PART I. FINANCIAL INFORMATIO</w:t>
              </w:r>
              <w:r>
                <w:rPr>
                  <w:rStyle w:val="a4"/>
                  <w:sz w:val="20"/>
                  <w:szCs w:val="20"/>
                </w:rPr>
                <w:t>N</w:t>
              </w:r>
            </w:hyperlink>
          </w:p>
        </w:tc>
        <w:tc>
          <w:tcPr>
            <w:tcW w:w="0" w:type="auto"/>
            <w:hideMark/>
          </w:tcPr>
          <w:p w:rsidR="00000000" w:rsidRDefault="00A749A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w:t>
            </w:r>
          </w:p>
        </w:tc>
      </w:tr>
      <w:tr w:rsidR="00000000">
        <w:trPr>
          <w:trHeight w:val="14"/>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749A6">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ITEM 1</w:t>
            </w: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hyperlink w:anchor="item_1_financial_statements" w:history="1">
              <w:r>
                <w:rPr>
                  <w:rStyle w:val="a4"/>
                  <w:sz w:val="20"/>
                  <w:szCs w:val="20"/>
                </w:rPr>
                <w:t>FINANCIAL STATEMENTS (UNAUDITED</w:t>
              </w:r>
              <w:r>
                <w:rPr>
                  <w:rStyle w:val="a4"/>
                  <w:sz w:val="20"/>
                  <w:szCs w:val="20"/>
                </w:rPr>
                <w:t>)</w:t>
              </w:r>
            </w:hyperlink>
          </w:p>
        </w:tc>
        <w:tc>
          <w:tcPr>
            <w:tcW w:w="0" w:type="auto"/>
            <w:hideMark/>
          </w:tcPr>
          <w:p w:rsidR="00000000" w:rsidRDefault="00A749A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w:t>
            </w:r>
          </w:p>
        </w:tc>
      </w:tr>
      <w:tr w:rsidR="00000000">
        <w:trPr>
          <w:trHeight w:val="14"/>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749A6">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hyperlink w:anchor="condensed_consolidated_balance_sheets" w:history="1">
              <w:r>
                <w:rPr>
                  <w:rStyle w:val="a4"/>
                  <w:sz w:val="20"/>
                  <w:szCs w:val="20"/>
                </w:rPr>
                <w:t>Condensed Consolidated Balance Sheets as of June 25, 2022 and September 25, 202</w:t>
              </w:r>
              <w:r>
                <w:rPr>
                  <w:rStyle w:val="a4"/>
                  <w:sz w:val="20"/>
                  <w:szCs w:val="20"/>
                </w:rPr>
                <w:t>1</w:t>
              </w:r>
            </w:hyperlink>
          </w:p>
        </w:tc>
        <w:tc>
          <w:tcPr>
            <w:tcW w:w="0" w:type="auto"/>
            <w:hideMark/>
          </w:tcPr>
          <w:p w:rsidR="00000000" w:rsidRDefault="00A749A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w:t>
            </w:r>
          </w:p>
        </w:tc>
      </w:tr>
      <w:tr w:rsidR="00000000">
        <w:trPr>
          <w:trHeight w:val="14"/>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749A6">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hyperlink w:anchor="condensed_consolidated_statements_opera" w:history="1">
              <w:r>
                <w:rPr>
                  <w:rStyle w:val="a4"/>
                  <w:sz w:val="20"/>
                  <w:szCs w:val="20"/>
                </w:rPr>
                <w:t>Condensed Consolidated Statements</w:t>
              </w:r>
              <w:r>
                <w:rPr>
                  <w:rStyle w:val="a4"/>
                  <w:sz w:val="20"/>
                  <w:szCs w:val="20"/>
                </w:rPr>
                <w:t xml:space="preserve"> of Operations for the three months ended June 25, 2022 and June 26, 202</w:t>
              </w:r>
              <w:r>
                <w:rPr>
                  <w:rStyle w:val="a4"/>
                  <w:sz w:val="20"/>
                  <w:szCs w:val="20"/>
                </w:rPr>
                <w:t>1</w:t>
              </w:r>
            </w:hyperlink>
          </w:p>
        </w:tc>
        <w:tc>
          <w:tcPr>
            <w:tcW w:w="0" w:type="auto"/>
            <w:hideMark/>
          </w:tcPr>
          <w:p w:rsidR="00000000" w:rsidRDefault="00A749A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w:t>
            </w:r>
          </w:p>
        </w:tc>
      </w:tr>
      <w:tr w:rsidR="00000000">
        <w:trPr>
          <w:trHeight w:val="14"/>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749A6">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hyperlink w:anchor="condensed_consolidated_statement_of_ops" w:history="1">
              <w:r>
                <w:rPr>
                  <w:rStyle w:val="a4"/>
                  <w:sz w:val="20"/>
                  <w:szCs w:val="20"/>
                </w:rPr>
                <w:t>Condensed Consolidated Statements of Operations for the nine months ended June 25, 2022 and June 26, 202</w:t>
              </w:r>
              <w:r>
                <w:rPr>
                  <w:rStyle w:val="a4"/>
                  <w:sz w:val="20"/>
                  <w:szCs w:val="20"/>
                </w:rPr>
                <w:t>1</w:t>
              </w:r>
            </w:hyperlink>
          </w:p>
        </w:tc>
        <w:tc>
          <w:tcPr>
            <w:tcW w:w="0" w:type="auto"/>
            <w:hideMark/>
          </w:tcPr>
          <w:p w:rsidR="00000000" w:rsidRDefault="00A749A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w:t>
            </w:r>
          </w:p>
        </w:tc>
      </w:tr>
      <w:tr w:rsidR="00000000">
        <w:trPr>
          <w:trHeight w:val="14"/>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749A6">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hyperlink w:anchor="condensed_consolidated_statements_compr" w:history="1">
              <w:r>
                <w:rPr>
                  <w:rStyle w:val="a4"/>
                  <w:sz w:val="20"/>
                  <w:szCs w:val="20"/>
                </w:rPr>
                <w:t>Condensed Consolidated Statements of Comprehensive Income for the th</w:t>
              </w:r>
              <w:r>
                <w:rPr>
                  <w:rStyle w:val="a4"/>
                  <w:sz w:val="20"/>
                  <w:szCs w:val="20"/>
                </w:rPr>
                <w:t>ree and nine months ended June 25, 2022 and June 26, 202</w:t>
              </w:r>
              <w:r>
                <w:rPr>
                  <w:rStyle w:val="a4"/>
                  <w:sz w:val="20"/>
                  <w:szCs w:val="20"/>
                </w:rPr>
                <w:t>1</w:t>
              </w:r>
            </w:hyperlink>
          </w:p>
        </w:tc>
        <w:tc>
          <w:tcPr>
            <w:tcW w:w="0" w:type="auto"/>
            <w:hideMark/>
          </w:tcPr>
          <w:p w:rsidR="00000000" w:rsidRDefault="00A749A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w:t>
            </w:r>
          </w:p>
        </w:tc>
      </w:tr>
      <w:tr w:rsidR="00000000">
        <w:trPr>
          <w:trHeight w:val="14"/>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749A6">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hyperlink w:anchor="condensed_consolidated_statements_cash_" w:history="1">
              <w:r>
                <w:rPr>
                  <w:rStyle w:val="a4"/>
                  <w:sz w:val="20"/>
                  <w:szCs w:val="20"/>
                </w:rPr>
                <w:t>Condensed Consolidated Statements of Cash Flows for the nine months ended June 25, 2022 and June 26, 202</w:t>
              </w:r>
              <w:r>
                <w:rPr>
                  <w:rStyle w:val="a4"/>
                  <w:sz w:val="20"/>
                  <w:szCs w:val="20"/>
                </w:rPr>
                <w:t>1</w:t>
              </w:r>
            </w:hyperlink>
          </w:p>
        </w:tc>
        <w:tc>
          <w:tcPr>
            <w:tcW w:w="0" w:type="auto"/>
            <w:hideMark/>
          </w:tcPr>
          <w:p w:rsidR="00000000" w:rsidRDefault="00A749A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w:t>
            </w:r>
          </w:p>
        </w:tc>
      </w:tr>
      <w:tr w:rsidR="00000000">
        <w:trPr>
          <w:trHeight w:val="14"/>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749A6">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hyperlink w:anchor="condensed_consolidated_statements_partn" w:history="1">
              <w:r>
                <w:rPr>
                  <w:rStyle w:val="a4"/>
                  <w:sz w:val="20"/>
                  <w:szCs w:val="20"/>
                </w:rPr>
                <w:t>Condensed Consolidated Statements of Partners’ Capital for the three</w:t>
              </w:r>
              <w:r>
                <w:rPr>
                  <w:rStyle w:val="a4"/>
                  <w:sz w:val="20"/>
                  <w:szCs w:val="20"/>
                </w:rPr>
                <w:t xml:space="preserve"> months ended June 25, 2022</w:t>
              </w:r>
              <w:r>
                <w:rPr>
                  <w:color w:val="0000FF"/>
                  <w:sz w:val="20"/>
                  <w:szCs w:val="20"/>
                  <w:u w:val="single"/>
                </w:rPr>
                <w:br/>
              </w:r>
              <w:r>
                <w:rPr>
                  <w:rStyle w:val="a4"/>
                  <w:sz w:val="20"/>
                  <w:szCs w:val="20"/>
                </w:rPr>
                <w:t>and June 26, 202</w:t>
              </w:r>
              <w:r>
                <w:rPr>
                  <w:rStyle w:val="a4"/>
                  <w:sz w:val="20"/>
                  <w:szCs w:val="20"/>
                </w:rPr>
                <w:t>1</w:t>
              </w:r>
            </w:hyperlink>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w:t>
            </w:r>
          </w:p>
        </w:tc>
      </w:tr>
      <w:tr w:rsidR="00000000">
        <w:trPr>
          <w:trHeight w:val="14"/>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749A6">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hyperlink w:anchor="condensed_consolidated_statements_pc_2" w:history="1">
              <w:r>
                <w:rPr>
                  <w:rStyle w:val="a4"/>
                  <w:sz w:val="20"/>
                  <w:szCs w:val="20"/>
                </w:rPr>
                <w:t xml:space="preserve">Condensed Consolidated Statements of Partners’ </w:t>
              </w:r>
              <w:r>
                <w:rPr>
                  <w:rStyle w:val="a4"/>
                  <w:sz w:val="20"/>
                  <w:szCs w:val="20"/>
                </w:rPr>
                <w:t>Capital for the nine months ended June 25, 2022</w:t>
              </w:r>
              <w:r>
                <w:rPr>
                  <w:color w:val="0000FF"/>
                  <w:sz w:val="20"/>
                  <w:szCs w:val="20"/>
                  <w:u w:val="single"/>
                </w:rPr>
                <w:br/>
              </w:r>
              <w:r>
                <w:rPr>
                  <w:rStyle w:val="a4"/>
                  <w:sz w:val="20"/>
                  <w:szCs w:val="20"/>
                </w:rPr>
                <w:t>and June 26, 202</w:t>
              </w:r>
              <w:r>
                <w:rPr>
                  <w:rStyle w:val="a4"/>
                  <w:sz w:val="20"/>
                  <w:szCs w:val="20"/>
                </w:rPr>
                <w:t>1</w:t>
              </w:r>
            </w:hyperlink>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w:t>
            </w:r>
          </w:p>
        </w:tc>
      </w:tr>
      <w:tr w:rsidR="00000000">
        <w:trPr>
          <w:trHeight w:val="14"/>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749A6">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hyperlink w:anchor="notes_to_condensed_consolidated_financi" w:history="1">
              <w:r>
                <w:rPr>
                  <w:rStyle w:val="a4"/>
                  <w:sz w:val="20"/>
                  <w:szCs w:val="20"/>
                </w:rPr>
                <w:t>Notes to Condensed Consolidated Financial Statement</w:t>
              </w:r>
              <w:r>
                <w:rPr>
                  <w:rStyle w:val="a4"/>
                  <w:sz w:val="20"/>
                  <w:szCs w:val="20"/>
                </w:rPr>
                <w:t>s</w:t>
              </w:r>
            </w:hyperlink>
          </w:p>
        </w:tc>
        <w:tc>
          <w:tcPr>
            <w:tcW w:w="0" w:type="auto"/>
            <w:hideMark/>
          </w:tcPr>
          <w:p w:rsidR="00000000" w:rsidRDefault="00A749A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8</w:t>
            </w:r>
          </w:p>
        </w:tc>
      </w:tr>
      <w:tr w:rsidR="00000000">
        <w:trPr>
          <w:trHeight w:val="14"/>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lastRenderedPageBreak/>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749A6">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ITEM 2</w:t>
            </w: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hyperlink w:anchor="item_2_managements_discussion_analysis_" w:history="1">
              <w:r>
                <w:rPr>
                  <w:rStyle w:val="a4"/>
                  <w:sz w:val="20"/>
                  <w:szCs w:val="20"/>
                </w:rPr>
                <w:t>MANAGEMENT’S DISCUSSION AND ANALYSIS OF FINANCIAL CONDITION AND RESULTS OF OPERATION</w:t>
              </w:r>
              <w:r>
                <w:rPr>
                  <w:rStyle w:val="a4"/>
                  <w:sz w:val="20"/>
                  <w:szCs w:val="20"/>
                </w:rPr>
                <w:t>S</w:t>
              </w:r>
            </w:hyperlink>
          </w:p>
        </w:tc>
        <w:tc>
          <w:tcPr>
            <w:tcW w:w="0" w:type="auto"/>
            <w:hideMark/>
          </w:tcPr>
          <w:p w:rsidR="00000000" w:rsidRDefault="00A749A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w:t>
            </w:r>
            <w:r>
              <w:rPr>
                <w:sz w:val="20"/>
                <w:szCs w:val="20"/>
              </w:rPr>
              <w:t>4</w:t>
            </w:r>
          </w:p>
        </w:tc>
      </w:tr>
      <w:tr w:rsidR="00000000">
        <w:trPr>
          <w:trHeight w:val="14"/>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749A6">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ITEM 3</w:t>
            </w: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hyperlink w:anchor="item_3_quantitative_qualitative_disclos" w:history="1">
              <w:r>
                <w:rPr>
                  <w:rStyle w:val="a4"/>
                  <w:sz w:val="20"/>
                  <w:szCs w:val="20"/>
                </w:rPr>
                <w:t>QUANTITATIVE AND QUALITATIVE DISCLOSURES ABOUT MARKET RIS</w:t>
              </w:r>
              <w:r>
                <w:rPr>
                  <w:rStyle w:val="a4"/>
                  <w:sz w:val="20"/>
                  <w:szCs w:val="20"/>
                </w:rPr>
                <w:t>K</w:t>
              </w:r>
            </w:hyperlink>
          </w:p>
        </w:tc>
        <w:tc>
          <w:tcPr>
            <w:tcW w:w="0" w:type="auto"/>
            <w:hideMark/>
          </w:tcPr>
          <w:p w:rsidR="00000000" w:rsidRDefault="00A749A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w:t>
            </w:r>
            <w:r>
              <w:rPr>
                <w:sz w:val="20"/>
                <w:szCs w:val="20"/>
              </w:rPr>
              <w:t>5</w:t>
            </w:r>
          </w:p>
        </w:tc>
      </w:tr>
      <w:tr w:rsidR="00000000">
        <w:trPr>
          <w:trHeight w:val="14"/>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749A6">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ITEM 4</w:t>
            </w: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hyperlink w:anchor="item_4_controls_procedures" w:history="1">
              <w:r>
                <w:rPr>
                  <w:rStyle w:val="a4"/>
                  <w:sz w:val="20"/>
                  <w:szCs w:val="20"/>
                </w:rPr>
                <w:t>CONTROLS AND PROCEDURE</w:t>
              </w:r>
              <w:r>
                <w:rPr>
                  <w:rStyle w:val="a4"/>
                  <w:sz w:val="20"/>
                  <w:szCs w:val="20"/>
                </w:rPr>
                <w:t>S</w:t>
              </w:r>
            </w:hyperlink>
          </w:p>
        </w:tc>
        <w:tc>
          <w:tcPr>
            <w:tcW w:w="0" w:type="auto"/>
            <w:hideMark/>
          </w:tcPr>
          <w:p w:rsidR="00000000" w:rsidRDefault="00A749A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w:t>
            </w:r>
            <w:r>
              <w:rPr>
                <w:sz w:val="20"/>
                <w:szCs w:val="20"/>
              </w:rPr>
              <w:t>6</w:t>
            </w:r>
          </w:p>
        </w:tc>
      </w:tr>
      <w:tr w:rsidR="00000000">
        <w:trPr>
          <w:trHeight w:val="14"/>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749A6">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749A6">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749A6">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jc w:val="center"/>
              <w:rPr>
                <w:sz w:val="20"/>
                <w:szCs w:val="20"/>
              </w:rPr>
            </w:pPr>
            <w:r>
              <w:rPr>
                <w:sz w:val="20"/>
                <w:szCs w:val="20"/>
              </w:rPr>
              <w:t> </w:t>
            </w:r>
          </w:p>
        </w:tc>
        <w:tc>
          <w:tcPr>
            <w:tcW w:w="0" w:type="auto"/>
            <w:hideMark/>
          </w:tcPr>
          <w:p w:rsidR="00000000" w:rsidRDefault="00A749A6">
            <w:pPr>
              <w:pStyle w:val="a3"/>
              <w:spacing w:before="0" w:beforeAutospacing="0" w:after="0" w:afterAutospacing="0"/>
              <w:jc w:val="center"/>
              <w:rPr>
                <w:sz w:val="20"/>
                <w:szCs w:val="20"/>
              </w:rPr>
            </w:pPr>
            <w:hyperlink w:anchor="part_ii_or_information" w:history="1">
              <w:r>
                <w:rPr>
                  <w:rStyle w:val="a4"/>
                  <w:sz w:val="20"/>
                  <w:szCs w:val="20"/>
                </w:rPr>
                <w:t>PART II. OTHER INFORMATIO</w:t>
              </w:r>
              <w:r>
                <w:rPr>
                  <w:rStyle w:val="a4"/>
                  <w:sz w:val="20"/>
                  <w:szCs w:val="20"/>
                </w:rPr>
                <w:t>N</w:t>
              </w:r>
            </w:hyperlink>
          </w:p>
        </w:tc>
        <w:tc>
          <w:tcPr>
            <w:tcW w:w="0" w:type="auto"/>
            <w:hideMark/>
          </w:tcPr>
          <w:p w:rsidR="00000000" w:rsidRDefault="00A749A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w:t>
            </w:r>
            <w:r>
              <w:rPr>
                <w:sz w:val="20"/>
                <w:szCs w:val="20"/>
              </w:rPr>
              <w:t>7</w:t>
            </w:r>
          </w:p>
        </w:tc>
      </w:tr>
      <w:tr w:rsidR="00000000">
        <w:trPr>
          <w:trHeight w:val="14"/>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749A6">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ITEM 1</w:t>
            </w: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hyperlink w:anchor="item_1_legal_proceedings" w:history="1">
              <w:r>
                <w:rPr>
                  <w:rStyle w:val="a4"/>
                  <w:sz w:val="20"/>
                  <w:szCs w:val="20"/>
                </w:rPr>
                <w:t>LEGAL PROCEEDING</w:t>
              </w:r>
              <w:r>
                <w:rPr>
                  <w:rStyle w:val="a4"/>
                  <w:sz w:val="20"/>
                  <w:szCs w:val="20"/>
                </w:rPr>
                <w:t>S</w:t>
              </w:r>
            </w:hyperlink>
          </w:p>
        </w:tc>
        <w:tc>
          <w:tcPr>
            <w:tcW w:w="0" w:type="auto"/>
            <w:hideMark/>
          </w:tcPr>
          <w:p w:rsidR="00000000" w:rsidRDefault="00A749A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w:t>
            </w:r>
            <w:r>
              <w:rPr>
                <w:sz w:val="20"/>
                <w:szCs w:val="20"/>
              </w:rPr>
              <w:t>7</w:t>
            </w:r>
          </w:p>
        </w:tc>
      </w:tr>
      <w:tr w:rsidR="00000000">
        <w:trPr>
          <w:trHeight w:val="14"/>
          <w:tblCellSpacing w:w="15" w:type="dxa"/>
        </w:trPr>
        <w:tc>
          <w:tcPr>
            <w:tcW w:w="0" w:type="auto"/>
            <w:hideMark/>
          </w:tcPr>
          <w:p w:rsidR="00000000" w:rsidRDefault="00A749A6">
            <w:pPr>
              <w:pStyle w:val="a3"/>
              <w:spacing w:before="0" w:beforeAutospacing="0" w:after="0" w:afterAutospacing="0"/>
              <w:jc w:val="center"/>
              <w:rPr>
                <w:sz w:val="12"/>
                <w:szCs w:val="12"/>
              </w:rPr>
            </w:pPr>
            <w:r>
              <w:rPr>
                <w:sz w:val="12"/>
                <w:szCs w:val="12"/>
              </w:rPr>
              <w:t> </w:t>
            </w:r>
          </w:p>
        </w:tc>
        <w:tc>
          <w:tcPr>
            <w:tcW w:w="0" w:type="auto"/>
            <w:hideMark/>
          </w:tcPr>
          <w:p w:rsidR="00000000" w:rsidRDefault="00A749A6">
            <w:pPr>
              <w:pStyle w:val="a3"/>
              <w:spacing w:before="0" w:beforeAutospacing="0" w:after="0" w:afterAutospacing="0"/>
              <w:jc w:val="center"/>
              <w:rPr>
                <w:sz w:val="12"/>
                <w:szCs w:val="12"/>
              </w:rPr>
            </w:pPr>
            <w:r>
              <w:rPr>
                <w:sz w:val="12"/>
                <w:szCs w:val="12"/>
              </w:rPr>
              <w:t> </w:t>
            </w:r>
          </w:p>
        </w:tc>
        <w:tc>
          <w:tcPr>
            <w:tcW w:w="0" w:type="auto"/>
            <w:hideMark/>
          </w:tcPr>
          <w:p w:rsidR="00000000" w:rsidRDefault="00A749A6">
            <w:pPr>
              <w:pStyle w:val="a3"/>
              <w:spacing w:before="0" w:beforeAutospacing="0" w:after="0" w:afterAutospacing="0"/>
              <w:jc w:val="center"/>
              <w:rPr>
                <w:sz w:val="12"/>
                <w:szCs w:val="12"/>
              </w:rPr>
            </w:pPr>
            <w:r>
              <w:rPr>
                <w:sz w:val="12"/>
                <w:szCs w:val="12"/>
              </w:rPr>
              <w:t> </w:t>
            </w:r>
          </w:p>
        </w:tc>
        <w:tc>
          <w:tcPr>
            <w:tcW w:w="0" w:type="auto"/>
            <w:hideMark/>
          </w:tcPr>
          <w:p w:rsidR="00000000" w:rsidRDefault="00A749A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749A6">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ITEM 1A</w:t>
            </w:r>
            <w:r>
              <w:rPr>
                <w:sz w:val="20"/>
                <w:szCs w:val="20"/>
              </w:rPr>
              <w:t>.</w:t>
            </w:r>
            <w:r>
              <w:rPr>
                <w:sz w:val="20"/>
                <w:szCs w:val="20"/>
              </w:rPr>
              <w:t xml:space="preserve">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hyperlink w:anchor="item_1a_risk_factors" w:history="1">
              <w:r>
                <w:rPr>
                  <w:rStyle w:val="a4"/>
                  <w:sz w:val="20"/>
                  <w:szCs w:val="20"/>
                </w:rPr>
                <w:t>RISK FACTOR</w:t>
              </w:r>
              <w:r>
                <w:rPr>
                  <w:rStyle w:val="a4"/>
                  <w:sz w:val="20"/>
                  <w:szCs w:val="20"/>
                </w:rPr>
                <w:t>S</w:t>
              </w:r>
            </w:hyperlink>
          </w:p>
        </w:tc>
        <w:tc>
          <w:tcPr>
            <w:tcW w:w="0" w:type="auto"/>
            <w:hideMark/>
          </w:tcPr>
          <w:p w:rsidR="00000000" w:rsidRDefault="00A749A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w:t>
            </w:r>
            <w:r>
              <w:rPr>
                <w:sz w:val="20"/>
                <w:szCs w:val="20"/>
              </w:rPr>
              <w:t>7</w:t>
            </w:r>
          </w:p>
        </w:tc>
      </w:tr>
      <w:tr w:rsidR="00000000">
        <w:trPr>
          <w:trHeight w:val="14"/>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749A6">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ITEM 2</w:t>
            </w: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w:t>
              </w:r>
              <w:r>
                <w:rPr>
                  <w:rStyle w:val="a4"/>
                  <w:sz w:val="20"/>
                  <w:szCs w:val="20"/>
                </w:rPr>
                <w:t>S</w:t>
              </w:r>
            </w:hyperlink>
          </w:p>
        </w:tc>
        <w:tc>
          <w:tcPr>
            <w:tcW w:w="0" w:type="auto"/>
            <w:hideMark/>
          </w:tcPr>
          <w:p w:rsidR="00000000" w:rsidRDefault="00A749A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w:t>
            </w:r>
            <w:r>
              <w:rPr>
                <w:sz w:val="20"/>
                <w:szCs w:val="20"/>
              </w:rPr>
              <w:t>7</w:t>
            </w:r>
          </w:p>
        </w:tc>
      </w:tr>
      <w:tr w:rsidR="00000000">
        <w:trPr>
          <w:trHeight w:val="14"/>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749A6">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ITEM 3</w:t>
            </w: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hyperlink w:anchor="item_3_defaults_upon_senior_securities" w:history="1">
              <w:r>
                <w:rPr>
                  <w:rStyle w:val="a4"/>
                  <w:sz w:val="20"/>
                  <w:szCs w:val="20"/>
                </w:rPr>
                <w:t>DEFAULTS UPON SENIOR SECURITIE</w:t>
              </w:r>
              <w:r>
                <w:rPr>
                  <w:rStyle w:val="a4"/>
                  <w:sz w:val="20"/>
                  <w:szCs w:val="20"/>
                </w:rPr>
                <w:t>S</w:t>
              </w:r>
            </w:hyperlink>
          </w:p>
        </w:tc>
        <w:tc>
          <w:tcPr>
            <w:tcW w:w="0" w:type="auto"/>
            <w:hideMark/>
          </w:tcPr>
          <w:p w:rsidR="00000000" w:rsidRDefault="00A749A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w:t>
            </w:r>
            <w:r>
              <w:rPr>
                <w:sz w:val="20"/>
                <w:szCs w:val="20"/>
              </w:rPr>
              <w:t>7</w:t>
            </w:r>
          </w:p>
        </w:tc>
      </w:tr>
      <w:tr w:rsidR="00000000">
        <w:trPr>
          <w:trHeight w:val="14"/>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749A6">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ITEM 4</w:t>
            </w: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hyperlink w:anchor="item_4_mine_safety_disclosures" w:history="1">
              <w:r>
                <w:rPr>
                  <w:rStyle w:val="a4"/>
                  <w:sz w:val="20"/>
                  <w:szCs w:val="20"/>
                </w:rPr>
                <w:t>MINE SAFETY DISCLOSURE</w:t>
              </w:r>
              <w:r>
                <w:rPr>
                  <w:rStyle w:val="a4"/>
                  <w:sz w:val="20"/>
                  <w:szCs w:val="20"/>
                </w:rPr>
                <w:t>S</w:t>
              </w:r>
            </w:hyperlink>
          </w:p>
        </w:tc>
        <w:tc>
          <w:tcPr>
            <w:tcW w:w="0" w:type="auto"/>
            <w:hideMark/>
          </w:tcPr>
          <w:p w:rsidR="00000000" w:rsidRDefault="00A749A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w:t>
            </w:r>
            <w:r>
              <w:rPr>
                <w:sz w:val="20"/>
                <w:szCs w:val="20"/>
              </w:rPr>
              <w:t>7</w:t>
            </w:r>
          </w:p>
        </w:tc>
      </w:tr>
      <w:tr w:rsidR="00000000">
        <w:trPr>
          <w:trHeight w:val="14"/>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749A6">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ITEM 5</w:t>
            </w: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hyperlink w:anchor="item_5_or_information" w:history="1">
              <w:r>
                <w:rPr>
                  <w:rStyle w:val="a4"/>
                  <w:sz w:val="20"/>
                  <w:szCs w:val="20"/>
                </w:rPr>
                <w:t>OTHER INFORMATIO</w:t>
              </w:r>
              <w:r>
                <w:rPr>
                  <w:rStyle w:val="a4"/>
                  <w:sz w:val="20"/>
                  <w:szCs w:val="20"/>
                </w:rPr>
                <w:t>N</w:t>
              </w:r>
            </w:hyperlink>
          </w:p>
        </w:tc>
        <w:tc>
          <w:tcPr>
            <w:tcW w:w="0" w:type="auto"/>
            <w:hideMark/>
          </w:tcPr>
          <w:p w:rsidR="00000000" w:rsidRDefault="00A749A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w:t>
            </w:r>
            <w:r>
              <w:rPr>
                <w:sz w:val="20"/>
                <w:szCs w:val="20"/>
              </w:rPr>
              <w:t>7</w:t>
            </w:r>
          </w:p>
        </w:tc>
      </w:tr>
      <w:tr w:rsidR="00000000">
        <w:trPr>
          <w:trHeight w:val="14"/>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749A6">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ITEM 6</w:t>
            </w: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hyperlink w:anchor="item_6_exhibits" w:history="1">
              <w:r>
                <w:rPr>
                  <w:rStyle w:val="a4"/>
                  <w:sz w:val="20"/>
                  <w:szCs w:val="20"/>
                </w:rPr>
                <w:t>EXHIBIT</w:t>
              </w:r>
              <w:r>
                <w:rPr>
                  <w:rStyle w:val="a4"/>
                  <w:sz w:val="20"/>
                  <w:szCs w:val="20"/>
                </w:rPr>
                <w:t>S</w:t>
              </w:r>
            </w:hyperlink>
          </w:p>
        </w:tc>
        <w:tc>
          <w:tcPr>
            <w:tcW w:w="0" w:type="auto"/>
            <w:hideMark/>
          </w:tcPr>
          <w:p w:rsidR="00000000" w:rsidRDefault="00A749A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w:t>
            </w:r>
            <w:r>
              <w:rPr>
                <w:sz w:val="20"/>
                <w:szCs w:val="20"/>
              </w:rPr>
              <w:t>8</w:t>
            </w:r>
          </w:p>
        </w:tc>
      </w:tr>
      <w:tr w:rsidR="00000000">
        <w:trPr>
          <w:trHeight w:val="14"/>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A749A6">
            <w:pPr>
              <w:pStyle w:val="a3"/>
              <w:spacing w:before="0" w:beforeAutospacing="0" w:after="0" w:afterAutospacing="0"/>
              <w:jc w:val="right"/>
              <w:rPr>
                <w:sz w:val="12"/>
                <w:szCs w:val="12"/>
              </w:rPr>
            </w:pPr>
            <w:r>
              <w:rPr>
                <w:sz w:val="12"/>
                <w:szCs w:val="12"/>
              </w:rPr>
              <w:t> </w:t>
            </w:r>
          </w:p>
        </w:tc>
      </w:tr>
      <w:tr w:rsidR="00000000">
        <w:trPr>
          <w:trHeight w:val="14"/>
          <w:tblCellSpacing w:w="15" w:type="dxa"/>
        </w:trPr>
        <w:tc>
          <w:tcPr>
            <w:tcW w:w="0" w:type="auto"/>
            <w:gridSpan w:val="3"/>
            <w:hideMark/>
          </w:tcPr>
          <w:p w:rsidR="00000000" w:rsidRDefault="00A749A6">
            <w:pPr>
              <w:pStyle w:val="a3"/>
              <w:spacing w:before="0" w:beforeAutospacing="0" w:after="0" w:afterAutospacing="0"/>
              <w:rPr>
                <w:sz w:val="20"/>
                <w:szCs w:val="20"/>
              </w:rPr>
            </w:pPr>
            <w:hyperlink w:anchor="signatures" w:history="1">
              <w:r>
                <w:rPr>
                  <w:rStyle w:val="a4"/>
                  <w:caps/>
                  <w:sz w:val="20"/>
                  <w:szCs w:val="20"/>
                </w:rPr>
                <w:t>SignaturE</w:t>
              </w:r>
              <w:r>
                <w:rPr>
                  <w:rStyle w:val="a4"/>
                  <w:caps/>
                  <w:sz w:val="20"/>
                  <w:szCs w:val="20"/>
                </w:rPr>
                <w:t>s</w:t>
              </w:r>
            </w:hyperlink>
          </w:p>
        </w:tc>
        <w:tc>
          <w:tcPr>
            <w:tcW w:w="0" w:type="auto"/>
            <w:hideMark/>
          </w:tcPr>
          <w:p w:rsidR="00000000" w:rsidRDefault="00A749A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w:t>
            </w:r>
            <w:r>
              <w:rPr>
                <w:sz w:val="20"/>
                <w:szCs w:val="20"/>
              </w:rPr>
              <w:t>9</w:t>
            </w:r>
          </w:p>
        </w:tc>
      </w:tr>
    </w:tbl>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240" w:beforeAutospacing="0" w:after="0" w:afterAutospacing="0"/>
        <w:jc w:val="center"/>
        <w:rPr>
          <w:sz w:val="20"/>
          <w:szCs w:val="20"/>
        </w:rPr>
      </w:pPr>
      <w:r>
        <w:rPr>
          <w:sz w:val="20"/>
          <w:szCs w:val="20"/>
        </w:rPr>
        <w:t> </w:t>
      </w:r>
    </w:p>
    <w:p w:rsidR="00000000" w:rsidRDefault="00A749A6">
      <w:pPr>
        <w:rPr>
          <w:rFonts w:eastAsia="Times New Roman"/>
        </w:rPr>
      </w:pPr>
      <w:r>
        <w:rPr>
          <w:rFonts w:eastAsia="Times New Roman"/>
        </w:rPr>
        <w:pict>
          <v:rect id="_x0000_i1026" style="width:0;height:1.5pt" o:hralign="center" o:hrstd="t" o:hr="t" fillcolor="#a0a0a0" stroked="f"/>
        </w:pict>
      </w:r>
    </w:p>
    <w:p w:rsidR="00000000" w:rsidRDefault="00A749A6">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0" w:beforeAutospacing="0" w:after="0" w:afterAutospacing="0"/>
        <w:jc w:val="both"/>
        <w:rPr>
          <w:sz w:val="20"/>
          <w:szCs w:val="20"/>
        </w:rPr>
      </w:pPr>
      <w:r>
        <w:rPr>
          <w:b/>
          <w:bCs/>
          <w:sz w:val="20"/>
          <w:szCs w:val="20"/>
          <w:u w:val="single"/>
        </w:rPr>
        <w:t>DISCLOSURE REGARDING FORWARD-LOOKING STATEMENT</w:t>
      </w:r>
      <w:r>
        <w:rPr>
          <w:b/>
          <w:bCs/>
          <w:sz w:val="20"/>
          <w:szCs w:val="20"/>
          <w:u w:val="single"/>
        </w:rPr>
        <w:t>S</w:t>
      </w:r>
    </w:p>
    <w:p w:rsidR="00000000" w:rsidRDefault="00A749A6">
      <w:pPr>
        <w:pStyle w:val="a3"/>
        <w:spacing w:before="120" w:beforeAutospacing="0" w:after="0" w:afterAutospacing="0"/>
        <w:jc w:val="both"/>
        <w:rPr>
          <w:sz w:val="20"/>
          <w:szCs w:val="20"/>
        </w:rPr>
      </w:pPr>
      <w:r>
        <w:rPr>
          <w:sz w:val="20"/>
          <w:szCs w:val="20"/>
        </w:rPr>
        <w:t>This Quarterly Report on Form 10-Q contains forward-looking statements (“Forward-Looking Sta</w:t>
      </w:r>
      <w:r>
        <w:rPr>
          <w:sz w:val="20"/>
          <w:szCs w:val="20"/>
        </w:rPr>
        <w:t>tements”) as defined in the Private Securities Litigation Reform Act of 1995, Section 27A of the Securities Act of 1933, as amended, and Section 21E of the Securities Exchange Act of 1934, as amended, relating to future business expectations and prediction</w:t>
      </w:r>
      <w:r>
        <w:rPr>
          <w:sz w:val="20"/>
          <w:szCs w:val="20"/>
        </w:rPr>
        <w:t>s and financial condition and results of operations of Suburban Propane Partners, L.P. (the “Partnership”). Some of these statements can be identified by the use of forward-looking terminology such as “prospects,” “outlook,” “believes,” “estimates,” “inten</w:t>
      </w:r>
      <w:r>
        <w:rPr>
          <w:sz w:val="20"/>
          <w:szCs w:val="20"/>
        </w:rPr>
        <w:t>ds,” “may,” “will,” “should,” “could,” “anticipates,” “expects” or “plans” or the negative or other variation of these or similar words, or by discussion of trends and conditions, strategies or risks and uncertainties. These Forward-Looking Statements invo</w:t>
      </w:r>
      <w:r>
        <w:rPr>
          <w:sz w:val="20"/>
          <w:szCs w:val="20"/>
        </w:rPr>
        <w:t>lve certain risks and uncertainties that could cause actual results to differ materially from those discussed or implied in such Forward-Looking Statements (statements contained in this Quarterly Report identifying such risks and uncertainties are referred</w:t>
      </w:r>
      <w:r>
        <w:rPr>
          <w:sz w:val="20"/>
          <w:szCs w:val="20"/>
        </w:rPr>
        <w:t xml:space="preserve"> to as “Cautionary Statements”). The risks and uncertainties that could impact the Partnership’s results include, but are not limited to, the following risks</w:t>
      </w:r>
      <w:r>
        <w:rPr>
          <w:sz w:val="20"/>
          <w:szCs w:val="20"/>
        </w:rPr>
        <w:t>:</w:t>
      </w:r>
    </w:p>
    <w:p w:rsidR="00000000" w:rsidRDefault="00A749A6">
      <w:pPr>
        <w:jc w:val="both"/>
        <w:divId w:val="303583385"/>
        <w:rPr>
          <w:rFonts w:eastAsia="Times New Roman"/>
        </w:rPr>
      </w:pPr>
      <w:r>
        <w:rPr>
          <w:rFonts w:eastAsia="Times New Roman"/>
          <w:sz w:val="20"/>
          <w:szCs w:val="20"/>
        </w:rPr>
        <w:t>•</w:t>
      </w:r>
    </w:p>
    <w:p w:rsidR="00000000" w:rsidRDefault="00A749A6">
      <w:pPr>
        <w:jc w:val="both"/>
        <w:divId w:val="222328507"/>
        <w:rPr>
          <w:rFonts w:eastAsia="Times New Roman"/>
        </w:rPr>
      </w:pPr>
      <w:r>
        <w:rPr>
          <w:rFonts w:eastAsia="Times New Roman"/>
          <w:sz w:val="20"/>
          <w:szCs w:val="20"/>
        </w:rPr>
        <w:lastRenderedPageBreak/>
        <w:t>The impact of weather conditions on the demand for propane, fuel oil and other refined fuels, natural gas and electricity</w:t>
      </w:r>
      <w:r>
        <w:rPr>
          <w:rFonts w:eastAsia="Times New Roman"/>
          <w:sz w:val="20"/>
          <w:szCs w:val="20"/>
        </w:rPr>
        <w:t>;</w:t>
      </w:r>
    </w:p>
    <w:p w:rsidR="00000000" w:rsidRDefault="00A749A6">
      <w:pPr>
        <w:jc w:val="both"/>
        <w:divId w:val="1666981269"/>
        <w:rPr>
          <w:rFonts w:eastAsia="Times New Roman"/>
        </w:rPr>
      </w:pPr>
      <w:r>
        <w:rPr>
          <w:rFonts w:eastAsia="Times New Roman"/>
          <w:sz w:val="20"/>
          <w:szCs w:val="20"/>
        </w:rPr>
        <w:t>•</w:t>
      </w:r>
    </w:p>
    <w:p w:rsidR="00000000" w:rsidRDefault="00A749A6">
      <w:pPr>
        <w:jc w:val="both"/>
        <w:divId w:val="298852010"/>
        <w:rPr>
          <w:rFonts w:eastAsia="Times New Roman"/>
        </w:rPr>
      </w:pPr>
      <w:r>
        <w:rPr>
          <w:rFonts w:eastAsia="Times New Roman"/>
          <w:sz w:val="20"/>
          <w:szCs w:val="20"/>
        </w:rPr>
        <w:t>Volatility in the unit cost of propane, fuel oil and other refined fuels, natural gas and electricity, the impact of the Partnershi</w:t>
      </w:r>
      <w:r>
        <w:rPr>
          <w:rFonts w:eastAsia="Times New Roman"/>
          <w:sz w:val="20"/>
          <w:szCs w:val="20"/>
        </w:rPr>
        <w:t>p’s hedging and risk management activities, and the adverse impact of price increases on volumes sold as a result of customer conservation</w:t>
      </w:r>
      <w:r>
        <w:rPr>
          <w:rFonts w:eastAsia="Times New Roman"/>
          <w:sz w:val="20"/>
          <w:szCs w:val="20"/>
        </w:rPr>
        <w:t>;</w:t>
      </w:r>
    </w:p>
    <w:p w:rsidR="00000000" w:rsidRDefault="00A749A6">
      <w:pPr>
        <w:jc w:val="both"/>
        <w:divId w:val="972365931"/>
        <w:rPr>
          <w:rFonts w:eastAsia="Times New Roman"/>
        </w:rPr>
      </w:pPr>
      <w:r>
        <w:rPr>
          <w:rFonts w:eastAsia="Times New Roman"/>
          <w:sz w:val="20"/>
          <w:szCs w:val="20"/>
        </w:rPr>
        <w:t>•</w:t>
      </w:r>
    </w:p>
    <w:p w:rsidR="00000000" w:rsidRDefault="00A749A6">
      <w:pPr>
        <w:jc w:val="both"/>
        <w:divId w:val="1799643735"/>
        <w:rPr>
          <w:rFonts w:eastAsia="Times New Roman"/>
        </w:rPr>
      </w:pPr>
      <w:r>
        <w:rPr>
          <w:rFonts w:eastAsia="Times New Roman"/>
          <w:sz w:val="20"/>
          <w:szCs w:val="20"/>
        </w:rPr>
        <w:t>The impact of the COVID-19 pandemic and the corresponding government response, including the impact across the Par</w:t>
      </w:r>
      <w:r>
        <w:rPr>
          <w:rFonts w:eastAsia="Times New Roman"/>
          <w:sz w:val="20"/>
          <w:szCs w:val="20"/>
        </w:rPr>
        <w:t>tnership’s businesses on demand and operations, as well as on the operations of the Partnership’s suppliers, customers and other business partners, and the effectiveness of the Partnership’s actions taken in response to these risks</w:t>
      </w:r>
      <w:r>
        <w:rPr>
          <w:rFonts w:eastAsia="Times New Roman"/>
          <w:sz w:val="20"/>
          <w:szCs w:val="20"/>
        </w:rPr>
        <w:t>;</w:t>
      </w:r>
    </w:p>
    <w:p w:rsidR="00000000" w:rsidRDefault="00A749A6">
      <w:pPr>
        <w:jc w:val="both"/>
        <w:divId w:val="1377393045"/>
        <w:rPr>
          <w:rFonts w:eastAsia="Times New Roman"/>
        </w:rPr>
      </w:pPr>
      <w:r>
        <w:rPr>
          <w:rFonts w:eastAsia="Times New Roman"/>
          <w:sz w:val="20"/>
          <w:szCs w:val="20"/>
        </w:rPr>
        <w:t>•</w:t>
      </w:r>
    </w:p>
    <w:p w:rsidR="00000000" w:rsidRDefault="00A749A6">
      <w:pPr>
        <w:jc w:val="both"/>
        <w:divId w:val="1200052289"/>
        <w:rPr>
          <w:rFonts w:eastAsia="Times New Roman"/>
        </w:rPr>
      </w:pPr>
      <w:r>
        <w:rPr>
          <w:rFonts w:eastAsia="Times New Roman"/>
          <w:sz w:val="20"/>
          <w:szCs w:val="20"/>
        </w:rPr>
        <w:t>The ability of the Pa</w:t>
      </w:r>
      <w:r>
        <w:rPr>
          <w:rFonts w:eastAsia="Times New Roman"/>
          <w:sz w:val="20"/>
          <w:szCs w:val="20"/>
        </w:rPr>
        <w:t>rtnership to compete with other suppliers of propane, fuel oil and other energy sources</w:t>
      </w:r>
      <w:r>
        <w:rPr>
          <w:rFonts w:eastAsia="Times New Roman"/>
          <w:sz w:val="20"/>
          <w:szCs w:val="20"/>
        </w:rPr>
        <w:t>;</w:t>
      </w:r>
    </w:p>
    <w:p w:rsidR="00000000" w:rsidRDefault="00A749A6">
      <w:pPr>
        <w:jc w:val="both"/>
        <w:divId w:val="104203409"/>
        <w:rPr>
          <w:rFonts w:eastAsia="Times New Roman"/>
        </w:rPr>
      </w:pPr>
      <w:r>
        <w:rPr>
          <w:rFonts w:eastAsia="Times New Roman"/>
          <w:sz w:val="20"/>
          <w:szCs w:val="20"/>
        </w:rPr>
        <w:t>•</w:t>
      </w:r>
    </w:p>
    <w:p w:rsidR="00000000" w:rsidRDefault="00A749A6">
      <w:pPr>
        <w:jc w:val="both"/>
        <w:divId w:val="1477067921"/>
        <w:rPr>
          <w:rFonts w:eastAsia="Times New Roman"/>
        </w:rPr>
      </w:pPr>
      <w:r>
        <w:rPr>
          <w:rFonts w:eastAsia="Times New Roman"/>
          <w:sz w:val="20"/>
          <w:szCs w:val="20"/>
        </w:rPr>
        <w:t>The impact on the price and supply of propane, fuel oil and other refined fuels from the political, military or economic instability of the oil producing nations, in</w:t>
      </w:r>
      <w:r>
        <w:rPr>
          <w:rFonts w:eastAsia="Times New Roman"/>
          <w:sz w:val="20"/>
          <w:szCs w:val="20"/>
        </w:rPr>
        <w:t>cluding the Russia/Ukraine conflict, global terrorism and other general economic conditions, including the economic instability resulting from natural disasters such as pandemics, including the COVID-19 pandemic</w:t>
      </w:r>
      <w:r>
        <w:rPr>
          <w:rFonts w:eastAsia="Times New Roman"/>
          <w:sz w:val="20"/>
          <w:szCs w:val="20"/>
        </w:rPr>
        <w:t>;</w:t>
      </w:r>
    </w:p>
    <w:p w:rsidR="00000000" w:rsidRDefault="00A749A6">
      <w:pPr>
        <w:jc w:val="both"/>
        <w:divId w:val="200090438"/>
        <w:rPr>
          <w:rFonts w:eastAsia="Times New Roman"/>
        </w:rPr>
      </w:pPr>
      <w:r>
        <w:rPr>
          <w:rFonts w:eastAsia="Times New Roman"/>
          <w:sz w:val="20"/>
          <w:szCs w:val="20"/>
        </w:rPr>
        <w:t>•</w:t>
      </w:r>
    </w:p>
    <w:p w:rsidR="00000000" w:rsidRDefault="00A749A6">
      <w:pPr>
        <w:jc w:val="both"/>
        <w:divId w:val="1007486987"/>
        <w:rPr>
          <w:rFonts w:eastAsia="Times New Roman"/>
        </w:rPr>
      </w:pPr>
      <w:r>
        <w:rPr>
          <w:rFonts w:eastAsia="Times New Roman"/>
          <w:sz w:val="20"/>
          <w:szCs w:val="20"/>
        </w:rPr>
        <w:t>The ability of the Partnership to acquire</w:t>
      </w:r>
      <w:r>
        <w:rPr>
          <w:rFonts w:eastAsia="Times New Roman"/>
          <w:sz w:val="20"/>
          <w:szCs w:val="20"/>
        </w:rPr>
        <w:t xml:space="preserve"> sufficient volumes of, and the costs to the Partnership of acquiring, transporting and storing, propane, fuel oil and other refined fuels</w:t>
      </w:r>
      <w:r>
        <w:rPr>
          <w:rFonts w:eastAsia="Times New Roman"/>
          <w:sz w:val="20"/>
          <w:szCs w:val="20"/>
        </w:rPr>
        <w:t>;</w:t>
      </w:r>
    </w:p>
    <w:p w:rsidR="00000000" w:rsidRDefault="00A749A6">
      <w:pPr>
        <w:jc w:val="both"/>
        <w:divId w:val="1923686040"/>
        <w:rPr>
          <w:rFonts w:eastAsia="Times New Roman"/>
        </w:rPr>
      </w:pPr>
      <w:r>
        <w:rPr>
          <w:rFonts w:eastAsia="Times New Roman"/>
          <w:sz w:val="20"/>
          <w:szCs w:val="20"/>
        </w:rPr>
        <w:t>•</w:t>
      </w:r>
    </w:p>
    <w:p w:rsidR="00000000" w:rsidRDefault="00A749A6">
      <w:pPr>
        <w:jc w:val="both"/>
        <w:divId w:val="964962827"/>
        <w:rPr>
          <w:rFonts w:eastAsia="Times New Roman"/>
        </w:rPr>
      </w:pPr>
      <w:r>
        <w:rPr>
          <w:rFonts w:eastAsia="Times New Roman"/>
          <w:sz w:val="20"/>
          <w:szCs w:val="20"/>
        </w:rPr>
        <w:t>The ability of the Partnership to acquire and maintain reliable transportation for its propane, fuel oil and other</w:t>
      </w:r>
      <w:r>
        <w:rPr>
          <w:rFonts w:eastAsia="Times New Roman"/>
          <w:sz w:val="20"/>
          <w:szCs w:val="20"/>
        </w:rPr>
        <w:t xml:space="preserve"> refined fuels</w:t>
      </w:r>
      <w:r>
        <w:rPr>
          <w:rFonts w:eastAsia="Times New Roman"/>
          <w:sz w:val="20"/>
          <w:szCs w:val="20"/>
        </w:rPr>
        <w:t>;</w:t>
      </w:r>
    </w:p>
    <w:p w:rsidR="00000000" w:rsidRDefault="00A749A6">
      <w:pPr>
        <w:jc w:val="both"/>
        <w:divId w:val="554588256"/>
        <w:rPr>
          <w:rFonts w:eastAsia="Times New Roman"/>
        </w:rPr>
      </w:pPr>
      <w:r>
        <w:rPr>
          <w:rFonts w:eastAsia="Times New Roman"/>
          <w:sz w:val="20"/>
          <w:szCs w:val="20"/>
        </w:rPr>
        <w:t>•</w:t>
      </w:r>
    </w:p>
    <w:p w:rsidR="00000000" w:rsidRDefault="00A749A6">
      <w:pPr>
        <w:jc w:val="both"/>
        <w:divId w:val="734468509"/>
        <w:rPr>
          <w:rFonts w:eastAsia="Times New Roman"/>
        </w:rPr>
      </w:pPr>
      <w:r>
        <w:rPr>
          <w:rFonts w:eastAsia="Times New Roman"/>
          <w:sz w:val="20"/>
          <w:szCs w:val="20"/>
        </w:rPr>
        <w:t>The ability of the Partnership to attract and retain employees and key personnel to support the growth of our business</w:t>
      </w:r>
      <w:r>
        <w:rPr>
          <w:rFonts w:eastAsia="Times New Roman"/>
          <w:sz w:val="20"/>
          <w:szCs w:val="20"/>
        </w:rPr>
        <w:t>;</w:t>
      </w:r>
    </w:p>
    <w:p w:rsidR="00000000" w:rsidRDefault="00A749A6">
      <w:pPr>
        <w:jc w:val="both"/>
        <w:divId w:val="677779703"/>
        <w:rPr>
          <w:rFonts w:eastAsia="Times New Roman"/>
        </w:rPr>
      </w:pPr>
      <w:r>
        <w:rPr>
          <w:rFonts w:eastAsia="Times New Roman"/>
          <w:sz w:val="20"/>
          <w:szCs w:val="20"/>
        </w:rPr>
        <w:t>•</w:t>
      </w:r>
    </w:p>
    <w:p w:rsidR="00000000" w:rsidRDefault="00A749A6">
      <w:pPr>
        <w:jc w:val="both"/>
        <w:divId w:val="2114275137"/>
        <w:rPr>
          <w:rFonts w:eastAsia="Times New Roman"/>
        </w:rPr>
      </w:pPr>
      <w:r>
        <w:rPr>
          <w:rFonts w:eastAsia="Times New Roman"/>
          <w:sz w:val="20"/>
          <w:szCs w:val="20"/>
        </w:rPr>
        <w:t>The ability of the Partnership to retain customers or acquire new customers</w:t>
      </w:r>
      <w:r>
        <w:rPr>
          <w:rFonts w:eastAsia="Times New Roman"/>
          <w:sz w:val="20"/>
          <w:szCs w:val="20"/>
        </w:rPr>
        <w:t>;</w:t>
      </w:r>
    </w:p>
    <w:p w:rsidR="00000000" w:rsidRDefault="00A749A6">
      <w:pPr>
        <w:jc w:val="both"/>
        <w:divId w:val="603928883"/>
        <w:rPr>
          <w:rFonts w:eastAsia="Times New Roman"/>
        </w:rPr>
      </w:pPr>
      <w:r>
        <w:rPr>
          <w:rFonts w:eastAsia="Times New Roman"/>
          <w:sz w:val="20"/>
          <w:szCs w:val="20"/>
        </w:rPr>
        <w:t>•</w:t>
      </w:r>
    </w:p>
    <w:p w:rsidR="00000000" w:rsidRDefault="00A749A6">
      <w:pPr>
        <w:jc w:val="both"/>
        <w:divId w:val="1255288012"/>
        <w:rPr>
          <w:rFonts w:eastAsia="Times New Roman"/>
        </w:rPr>
      </w:pPr>
      <w:r>
        <w:rPr>
          <w:rFonts w:eastAsia="Times New Roman"/>
          <w:sz w:val="20"/>
          <w:szCs w:val="20"/>
        </w:rPr>
        <w:t xml:space="preserve">The impact of customer conservation, </w:t>
      </w:r>
      <w:r>
        <w:rPr>
          <w:rFonts w:eastAsia="Times New Roman"/>
          <w:sz w:val="20"/>
          <w:szCs w:val="20"/>
        </w:rPr>
        <w:t>energy efficiency and technology advances on the demand for propane, fuel oil and other refined fuels, natural gas and electricity</w:t>
      </w:r>
      <w:r>
        <w:rPr>
          <w:rFonts w:eastAsia="Times New Roman"/>
          <w:sz w:val="20"/>
          <w:szCs w:val="20"/>
        </w:rPr>
        <w:t>;</w:t>
      </w:r>
    </w:p>
    <w:p w:rsidR="00000000" w:rsidRDefault="00A749A6">
      <w:pPr>
        <w:jc w:val="both"/>
        <w:divId w:val="433286269"/>
        <w:rPr>
          <w:rFonts w:eastAsia="Times New Roman"/>
        </w:rPr>
      </w:pPr>
      <w:r>
        <w:rPr>
          <w:rFonts w:eastAsia="Times New Roman"/>
          <w:sz w:val="20"/>
          <w:szCs w:val="20"/>
        </w:rPr>
        <w:t>•</w:t>
      </w:r>
    </w:p>
    <w:p w:rsidR="00000000" w:rsidRDefault="00A749A6">
      <w:pPr>
        <w:jc w:val="both"/>
        <w:divId w:val="1760249251"/>
        <w:rPr>
          <w:rFonts w:eastAsia="Times New Roman"/>
        </w:rPr>
      </w:pPr>
      <w:r>
        <w:rPr>
          <w:rFonts w:eastAsia="Times New Roman"/>
          <w:sz w:val="20"/>
          <w:szCs w:val="20"/>
        </w:rPr>
        <w:t>The ability of management to continue to control expenses and manage inflationary increases in fuel, labor and other opera</w:t>
      </w:r>
      <w:r>
        <w:rPr>
          <w:rFonts w:eastAsia="Times New Roman"/>
          <w:sz w:val="20"/>
          <w:szCs w:val="20"/>
        </w:rPr>
        <w:t>ting costs</w:t>
      </w:r>
      <w:r>
        <w:rPr>
          <w:rFonts w:eastAsia="Times New Roman"/>
          <w:sz w:val="20"/>
          <w:szCs w:val="20"/>
        </w:rPr>
        <w:t>;</w:t>
      </w:r>
    </w:p>
    <w:p w:rsidR="00000000" w:rsidRDefault="00A749A6">
      <w:pPr>
        <w:jc w:val="both"/>
        <w:divId w:val="1119565476"/>
        <w:rPr>
          <w:rFonts w:eastAsia="Times New Roman"/>
        </w:rPr>
      </w:pPr>
      <w:r>
        <w:rPr>
          <w:rFonts w:eastAsia="Times New Roman"/>
          <w:sz w:val="20"/>
          <w:szCs w:val="20"/>
        </w:rPr>
        <w:t>•</w:t>
      </w:r>
    </w:p>
    <w:p w:rsidR="00000000" w:rsidRDefault="00A749A6">
      <w:pPr>
        <w:jc w:val="both"/>
        <w:divId w:val="602806479"/>
        <w:rPr>
          <w:rFonts w:eastAsia="Times New Roman"/>
        </w:rPr>
      </w:pPr>
      <w:r>
        <w:rPr>
          <w:rFonts w:eastAsia="Times New Roman"/>
          <w:sz w:val="20"/>
          <w:szCs w:val="20"/>
        </w:rPr>
        <w:t>The impact of changes in applicable statutes and government regulations, or their interpretations, including those relating to the environment and climate change, derivative instruments and other regulatory developments on the Partnership’s b</w:t>
      </w:r>
      <w:r>
        <w:rPr>
          <w:rFonts w:eastAsia="Times New Roman"/>
          <w:sz w:val="20"/>
          <w:szCs w:val="20"/>
        </w:rPr>
        <w:t>usiness</w:t>
      </w:r>
      <w:r>
        <w:rPr>
          <w:rFonts w:eastAsia="Times New Roman"/>
          <w:sz w:val="20"/>
          <w:szCs w:val="20"/>
        </w:rPr>
        <w:t>;</w:t>
      </w:r>
    </w:p>
    <w:p w:rsidR="00000000" w:rsidRDefault="00A749A6">
      <w:pPr>
        <w:jc w:val="both"/>
        <w:divId w:val="1753621551"/>
        <w:rPr>
          <w:rFonts w:eastAsia="Times New Roman"/>
        </w:rPr>
      </w:pPr>
      <w:r>
        <w:rPr>
          <w:rFonts w:eastAsia="Times New Roman"/>
          <w:sz w:val="20"/>
          <w:szCs w:val="20"/>
        </w:rPr>
        <w:t>•</w:t>
      </w:r>
    </w:p>
    <w:p w:rsidR="00000000" w:rsidRDefault="00A749A6">
      <w:pPr>
        <w:jc w:val="both"/>
        <w:divId w:val="1125852162"/>
        <w:rPr>
          <w:rFonts w:eastAsia="Times New Roman"/>
        </w:rPr>
      </w:pPr>
      <w:r>
        <w:rPr>
          <w:rFonts w:eastAsia="Times New Roman"/>
          <w:sz w:val="20"/>
          <w:szCs w:val="20"/>
        </w:rPr>
        <w:t>The impact of changes in tax laws that could adversely affect the tax treatment of the Partnership for income tax purposes</w:t>
      </w:r>
      <w:r>
        <w:rPr>
          <w:rFonts w:eastAsia="Times New Roman"/>
          <w:sz w:val="20"/>
          <w:szCs w:val="20"/>
        </w:rPr>
        <w:t>;</w:t>
      </w:r>
    </w:p>
    <w:p w:rsidR="00000000" w:rsidRDefault="00A749A6">
      <w:pPr>
        <w:jc w:val="both"/>
        <w:divId w:val="1146239929"/>
        <w:rPr>
          <w:rFonts w:eastAsia="Times New Roman"/>
        </w:rPr>
      </w:pPr>
      <w:r>
        <w:rPr>
          <w:rFonts w:eastAsia="Times New Roman"/>
          <w:sz w:val="20"/>
          <w:szCs w:val="20"/>
        </w:rPr>
        <w:t>•</w:t>
      </w:r>
    </w:p>
    <w:p w:rsidR="00000000" w:rsidRDefault="00A749A6">
      <w:pPr>
        <w:jc w:val="both"/>
        <w:divId w:val="601180293"/>
        <w:rPr>
          <w:rFonts w:eastAsia="Times New Roman"/>
        </w:rPr>
      </w:pPr>
      <w:r>
        <w:rPr>
          <w:rFonts w:eastAsia="Times New Roman"/>
          <w:sz w:val="20"/>
          <w:szCs w:val="20"/>
        </w:rPr>
        <w:t>The impact of legal proceedings on the Partnership’s business</w:t>
      </w:r>
      <w:r>
        <w:rPr>
          <w:rFonts w:eastAsia="Times New Roman"/>
          <w:sz w:val="20"/>
          <w:szCs w:val="20"/>
        </w:rPr>
        <w:t>;</w:t>
      </w:r>
    </w:p>
    <w:p w:rsidR="00000000" w:rsidRDefault="00A749A6">
      <w:pPr>
        <w:jc w:val="both"/>
        <w:divId w:val="2065373361"/>
        <w:rPr>
          <w:rFonts w:eastAsia="Times New Roman"/>
        </w:rPr>
      </w:pPr>
      <w:r>
        <w:rPr>
          <w:rFonts w:eastAsia="Times New Roman"/>
          <w:sz w:val="20"/>
          <w:szCs w:val="20"/>
        </w:rPr>
        <w:t>•</w:t>
      </w:r>
    </w:p>
    <w:p w:rsidR="00000000" w:rsidRDefault="00A749A6">
      <w:pPr>
        <w:jc w:val="both"/>
        <w:divId w:val="1378815727"/>
        <w:rPr>
          <w:rFonts w:eastAsia="Times New Roman"/>
        </w:rPr>
      </w:pPr>
      <w:r>
        <w:rPr>
          <w:rFonts w:eastAsia="Times New Roman"/>
          <w:sz w:val="20"/>
          <w:szCs w:val="20"/>
        </w:rPr>
        <w:t>The impact of operating hazards that could adversely affect the Partnership’s operating results to the extent not covered by insurance</w:t>
      </w:r>
      <w:r>
        <w:rPr>
          <w:rFonts w:eastAsia="Times New Roman"/>
          <w:sz w:val="20"/>
          <w:szCs w:val="20"/>
        </w:rPr>
        <w:t>;</w:t>
      </w:r>
    </w:p>
    <w:p w:rsidR="00000000" w:rsidRDefault="00A749A6">
      <w:pPr>
        <w:jc w:val="both"/>
        <w:divId w:val="265693295"/>
        <w:rPr>
          <w:rFonts w:eastAsia="Times New Roman"/>
        </w:rPr>
      </w:pPr>
      <w:r>
        <w:rPr>
          <w:rFonts w:eastAsia="Times New Roman"/>
          <w:sz w:val="20"/>
          <w:szCs w:val="20"/>
        </w:rPr>
        <w:t>•</w:t>
      </w:r>
    </w:p>
    <w:p w:rsidR="00000000" w:rsidRDefault="00A749A6">
      <w:pPr>
        <w:jc w:val="both"/>
        <w:divId w:val="1583291785"/>
        <w:rPr>
          <w:rFonts w:eastAsia="Times New Roman"/>
        </w:rPr>
      </w:pPr>
      <w:r>
        <w:rPr>
          <w:rFonts w:eastAsia="Times New Roman"/>
          <w:sz w:val="20"/>
          <w:szCs w:val="20"/>
        </w:rPr>
        <w:t>The Partnership’</w:t>
      </w:r>
      <w:r>
        <w:rPr>
          <w:rFonts w:eastAsia="Times New Roman"/>
          <w:sz w:val="20"/>
          <w:szCs w:val="20"/>
        </w:rPr>
        <w:t>s ability to make strategic acquisitions and successfully integrate them</w:t>
      </w:r>
      <w:r>
        <w:rPr>
          <w:rFonts w:eastAsia="Times New Roman"/>
          <w:sz w:val="20"/>
          <w:szCs w:val="20"/>
        </w:rPr>
        <w:t>;</w:t>
      </w:r>
    </w:p>
    <w:p w:rsidR="00000000" w:rsidRDefault="00A749A6">
      <w:pPr>
        <w:jc w:val="both"/>
        <w:divId w:val="1520924380"/>
        <w:rPr>
          <w:rFonts w:eastAsia="Times New Roman"/>
        </w:rPr>
      </w:pPr>
      <w:r>
        <w:rPr>
          <w:rFonts w:eastAsia="Times New Roman"/>
          <w:sz w:val="20"/>
          <w:szCs w:val="20"/>
        </w:rPr>
        <w:t>•</w:t>
      </w:r>
    </w:p>
    <w:p w:rsidR="00000000" w:rsidRDefault="00A749A6">
      <w:pPr>
        <w:jc w:val="both"/>
        <w:divId w:val="1166823495"/>
        <w:rPr>
          <w:rFonts w:eastAsia="Times New Roman"/>
        </w:rPr>
      </w:pPr>
      <w:r>
        <w:rPr>
          <w:rFonts w:eastAsia="Times New Roman"/>
          <w:sz w:val="20"/>
          <w:szCs w:val="20"/>
        </w:rPr>
        <w:lastRenderedPageBreak/>
        <w:t>The ability of the Partnership and any third-party service providers on which it may rely for support or services to continue to combat cybersecurity threats to its networks and in</w:t>
      </w:r>
      <w:r>
        <w:rPr>
          <w:rFonts w:eastAsia="Times New Roman"/>
          <w:sz w:val="20"/>
          <w:szCs w:val="20"/>
        </w:rPr>
        <w:t>formation technology</w:t>
      </w:r>
      <w:r>
        <w:rPr>
          <w:rFonts w:eastAsia="Times New Roman"/>
          <w:sz w:val="20"/>
          <w:szCs w:val="20"/>
        </w:rPr>
        <w:t>;</w:t>
      </w:r>
    </w:p>
    <w:p w:rsidR="00000000" w:rsidRDefault="00A749A6">
      <w:pPr>
        <w:jc w:val="both"/>
        <w:divId w:val="891621803"/>
        <w:rPr>
          <w:rFonts w:eastAsia="Times New Roman"/>
        </w:rPr>
      </w:pPr>
      <w:r>
        <w:rPr>
          <w:rFonts w:eastAsia="Times New Roman"/>
          <w:sz w:val="20"/>
          <w:szCs w:val="20"/>
        </w:rPr>
        <w:t>•</w:t>
      </w:r>
    </w:p>
    <w:p w:rsidR="00000000" w:rsidRDefault="00A749A6">
      <w:pPr>
        <w:jc w:val="both"/>
        <w:divId w:val="132718622"/>
        <w:rPr>
          <w:rFonts w:eastAsia="Times New Roman"/>
        </w:rPr>
      </w:pPr>
      <w:r>
        <w:rPr>
          <w:rFonts w:eastAsia="Times New Roman"/>
          <w:sz w:val="20"/>
          <w:szCs w:val="20"/>
        </w:rPr>
        <w:t>The impact of current conditions in the global capital and credit markets, and general economic pressures</w:t>
      </w:r>
      <w:r>
        <w:rPr>
          <w:rFonts w:eastAsia="Times New Roman"/>
          <w:sz w:val="20"/>
          <w:szCs w:val="20"/>
        </w:rPr>
        <w:t>;</w:t>
      </w:r>
    </w:p>
    <w:p w:rsidR="00000000" w:rsidRDefault="00A749A6">
      <w:pPr>
        <w:jc w:val="both"/>
        <w:divId w:val="1941520068"/>
        <w:rPr>
          <w:rFonts w:eastAsia="Times New Roman"/>
        </w:rPr>
      </w:pPr>
      <w:r>
        <w:rPr>
          <w:rFonts w:eastAsia="Times New Roman"/>
          <w:sz w:val="20"/>
          <w:szCs w:val="20"/>
        </w:rPr>
        <w:t>•</w:t>
      </w:r>
    </w:p>
    <w:p w:rsidR="00000000" w:rsidRDefault="00A749A6">
      <w:pPr>
        <w:jc w:val="both"/>
        <w:divId w:val="1628319477"/>
        <w:rPr>
          <w:rFonts w:eastAsia="Times New Roman"/>
        </w:rPr>
      </w:pPr>
      <w:r>
        <w:rPr>
          <w:rFonts w:eastAsia="Times New Roman"/>
          <w:sz w:val="20"/>
          <w:szCs w:val="20"/>
        </w:rPr>
        <w:t>The operating, legal and regulatory risks the Partnership may face; an</w:t>
      </w:r>
      <w:r>
        <w:rPr>
          <w:rFonts w:eastAsia="Times New Roman"/>
          <w:sz w:val="20"/>
          <w:szCs w:val="20"/>
        </w:rPr>
        <w:t>d</w:t>
      </w:r>
    </w:p>
    <w:p w:rsidR="00000000" w:rsidRDefault="00A749A6">
      <w:pPr>
        <w:jc w:val="both"/>
        <w:divId w:val="986515634"/>
        <w:rPr>
          <w:rFonts w:eastAsia="Times New Roman"/>
        </w:rPr>
      </w:pPr>
      <w:r>
        <w:rPr>
          <w:rFonts w:eastAsia="Times New Roman"/>
          <w:sz w:val="20"/>
          <w:szCs w:val="20"/>
        </w:rPr>
        <w:t>•</w:t>
      </w:r>
    </w:p>
    <w:p w:rsidR="00000000" w:rsidRDefault="00A749A6">
      <w:pPr>
        <w:jc w:val="both"/>
        <w:divId w:val="291249365"/>
        <w:rPr>
          <w:rFonts w:eastAsia="Times New Roman"/>
        </w:rPr>
      </w:pPr>
      <w:r>
        <w:rPr>
          <w:rFonts w:eastAsia="Times New Roman"/>
          <w:sz w:val="20"/>
          <w:szCs w:val="20"/>
        </w:rPr>
        <w:t>Other risks referenced from time to time in filin</w:t>
      </w:r>
      <w:r>
        <w:rPr>
          <w:rFonts w:eastAsia="Times New Roman"/>
          <w:sz w:val="20"/>
          <w:szCs w:val="20"/>
        </w:rPr>
        <w:t>gs with the Securities and Exchange Commission (“SEC”) and those factors listed or incorporated by reference into the Partnership’s most recent Annual Report under “Risk Factors.</w:t>
      </w:r>
      <w:r>
        <w:rPr>
          <w:rFonts w:eastAsia="Times New Roman"/>
          <w:sz w:val="20"/>
          <w:szCs w:val="20"/>
        </w:rPr>
        <w:t>”</w:t>
      </w:r>
    </w:p>
    <w:p w:rsidR="00000000" w:rsidRDefault="00A749A6">
      <w:pPr>
        <w:pStyle w:val="a3"/>
        <w:spacing w:before="240" w:beforeAutospacing="0" w:after="0" w:afterAutospacing="0"/>
        <w:jc w:val="center"/>
        <w:rPr>
          <w:sz w:val="20"/>
          <w:szCs w:val="20"/>
        </w:rPr>
      </w:pPr>
      <w:r>
        <w:rPr>
          <w:sz w:val="20"/>
          <w:szCs w:val="20"/>
        </w:rPr>
        <w:t> </w:t>
      </w:r>
    </w:p>
    <w:p w:rsidR="00000000" w:rsidRDefault="00A749A6">
      <w:pPr>
        <w:rPr>
          <w:rFonts w:eastAsia="Times New Roman"/>
        </w:rPr>
      </w:pPr>
      <w:r>
        <w:rPr>
          <w:rFonts w:eastAsia="Times New Roman"/>
        </w:rPr>
        <w:pict>
          <v:rect id="_x0000_i1027" style="width:0;height:1.5pt" o:hralign="center" o:hrstd="t" o:hr="t" fillcolor="#a0a0a0" stroked="f"/>
        </w:pict>
      </w:r>
    </w:p>
    <w:p w:rsidR="00000000" w:rsidRDefault="00A749A6">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0" w:beforeAutospacing="0" w:after="0" w:afterAutospacing="0"/>
        <w:jc w:val="both"/>
        <w:rPr>
          <w:sz w:val="20"/>
          <w:szCs w:val="20"/>
        </w:rPr>
      </w:pPr>
      <w:r>
        <w:rPr>
          <w:sz w:val="20"/>
          <w:szCs w:val="20"/>
        </w:rPr>
        <w:t>Some of these Forward-Looking Statements are discussed in more detail in “Management’s Discussion and Analysis of Financial Condition and Results of Operations” in this Quarterly Report. Reference is also made to t</w:t>
      </w:r>
      <w:r>
        <w:rPr>
          <w:sz w:val="20"/>
          <w:szCs w:val="20"/>
        </w:rPr>
        <w:t>he risk factors discussed in Item 1A of our Annual Report on Form 10-K for the fiscal year ended September 25, 2021. On different occasions, the Partnership or its representatives have made or may make Forward-Looking Statements in other filings with the S</w:t>
      </w:r>
      <w:r>
        <w:rPr>
          <w:sz w:val="20"/>
          <w:szCs w:val="20"/>
        </w:rPr>
        <w:t>EC, press releases or oral statements made by or with the approval of one of the Partnership’s authorized executive officers. Readers are cautioned not to place undue reliance on Forward-Looking Statements, which reflect management’s view only as of the da</w:t>
      </w:r>
      <w:r>
        <w:rPr>
          <w:sz w:val="20"/>
          <w:szCs w:val="20"/>
        </w:rPr>
        <w:t>te made. The Partnership undertakes no obligation to update any Forward-Looking Statement or Cautionary Statement, except as required by law. All subsequent written and oral Forward-Looking Statements attributable to the Partnership or persons acting on it</w:t>
      </w:r>
      <w:r>
        <w:rPr>
          <w:sz w:val="20"/>
          <w:szCs w:val="20"/>
        </w:rPr>
        <w:t>s behalf are expressly qualified in their entirety by the Cautionary Statements in this Quarterly Report and in future SEC reports</w:t>
      </w:r>
      <w:r>
        <w:rPr>
          <w:sz w:val="20"/>
          <w:szCs w:val="20"/>
        </w:rPr>
        <w:t>.</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240" w:beforeAutospacing="0" w:after="0" w:afterAutospacing="0"/>
        <w:jc w:val="center"/>
        <w:rPr>
          <w:sz w:val="20"/>
          <w:szCs w:val="20"/>
        </w:rPr>
      </w:pPr>
      <w:r>
        <w:rPr>
          <w:sz w:val="20"/>
          <w:szCs w:val="20"/>
        </w:rPr>
        <w:t> </w:t>
      </w:r>
    </w:p>
    <w:p w:rsidR="00000000" w:rsidRDefault="00A749A6">
      <w:pPr>
        <w:rPr>
          <w:rFonts w:eastAsia="Times New Roman"/>
        </w:rPr>
      </w:pPr>
      <w:r>
        <w:rPr>
          <w:rFonts w:eastAsia="Times New Roman"/>
        </w:rPr>
        <w:pict>
          <v:rect id="_x0000_i1028" style="width:0;height:1.5pt" o:hralign="center" o:hrstd="t" o:hr="t" fillcolor="#a0a0a0" stroked="f"/>
        </w:pict>
      </w:r>
    </w:p>
    <w:p w:rsidR="00000000" w:rsidRDefault="00A749A6">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0" w:beforeAutospacing="0" w:after="0" w:afterAutospacing="0"/>
        <w:jc w:val="center"/>
        <w:rPr>
          <w:sz w:val="20"/>
          <w:szCs w:val="20"/>
        </w:rPr>
      </w:pPr>
      <w:r>
        <w:rPr>
          <w:b/>
          <w:bCs/>
          <w:sz w:val="20"/>
          <w:szCs w:val="20"/>
        </w:rPr>
        <w:t>PART I. FINANC</w:t>
      </w:r>
      <w:r>
        <w:rPr>
          <w:b/>
          <w:bCs/>
          <w:sz w:val="20"/>
          <w:szCs w:val="20"/>
        </w:rPr>
        <w:t>I</w:t>
      </w:r>
      <w:r>
        <w:rPr>
          <w:b/>
          <w:bCs/>
          <w:sz w:val="20"/>
          <w:szCs w:val="20"/>
        </w:rPr>
        <w:t>AL INFORMATIO</w:t>
      </w:r>
      <w:r>
        <w:rPr>
          <w:b/>
          <w:bCs/>
          <w:sz w:val="20"/>
          <w:szCs w:val="20"/>
        </w:rPr>
        <w:t>N</w:t>
      </w:r>
    </w:p>
    <w:p w:rsidR="00000000" w:rsidRDefault="00A749A6">
      <w:pPr>
        <w:pStyle w:val="a3"/>
        <w:spacing w:before="240" w:beforeAutospacing="0" w:after="0" w:afterAutospacing="0"/>
        <w:jc w:val="center"/>
        <w:rPr>
          <w:sz w:val="20"/>
          <w:szCs w:val="20"/>
        </w:rPr>
      </w:pPr>
      <w:r>
        <w:rPr>
          <w:b/>
          <w:bCs/>
          <w:sz w:val="20"/>
          <w:szCs w:val="20"/>
        </w:rPr>
        <w:t>ITEM 1. FINANC</w:t>
      </w:r>
      <w:r>
        <w:rPr>
          <w:b/>
          <w:bCs/>
          <w:sz w:val="20"/>
          <w:szCs w:val="20"/>
        </w:rPr>
        <w:t>I</w:t>
      </w:r>
      <w:r>
        <w:rPr>
          <w:b/>
          <w:bCs/>
          <w:sz w:val="20"/>
          <w:szCs w:val="20"/>
        </w:rPr>
        <w:t>AL STATEMENT</w:t>
      </w:r>
      <w:r>
        <w:rPr>
          <w:b/>
          <w:bCs/>
          <w:sz w:val="20"/>
          <w:szCs w:val="20"/>
        </w:rPr>
        <w:t>S</w:t>
      </w:r>
    </w:p>
    <w:p w:rsidR="00000000" w:rsidRDefault="00A749A6">
      <w:pPr>
        <w:pStyle w:val="a3"/>
        <w:spacing w:before="240" w:beforeAutospacing="0" w:after="0" w:afterAutospacing="0"/>
        <w:jc w:val="center"/>
        <w:rPr>
          <w:sz w:val="20"/>
          <w:szCs w:val="20"/>
        </w:rPr>
      </w:pPr>
      <w:r>
        <w:rPr>
          <w:b/>
          <w:bCs/>
          <w:sz w:val="20"/>
          <w:szCs w:val="20"/>
        </w:rPr>
        <w:t>SUBURBAN PROPANE PARTNERS, L.P. AND SUBSIDIARIE</w:t>
      </w:r>
      <w:r>
        <w:rPr>
          <w:b/>
          <w:bCs/>
          <w:sz w:val="20"/>
          <w:szCs w:val="20"/>
        </w:rPr>
        <w:t>S</w:t>
      </w:r>
    </w:p>
    <w:p w:rsidR="00000000" w:rsidRDefault="00A749A6">
      <w:pPr>
        <w:pStyle w:val="a3"/>
        <w:spacing w:before="240" w:beforeAutospacing="0" w:after="0" w:afterAutospacing="0"/>
        <w:jc w:val="center"/>
        <w:rPr>
          <w:sz w:val="20"/>
          <w:szCs w:val="20"/>
        </w:rPr>
      </w:pPr>
      <w:r>
        <w:rPr>
          <w:b/>
          <w:bCs/>
          <w:sz w:val="20"/>
          <w:szCs w:val="20"/>
        </w:rPr>
        <w:t>CONDENSED CONSOLID</w:t>
      </w:r>
      <w:r>
        <w:rPr>
          <w:b/>
          <w:bCs/>
          <w:sz w:val="20"/>
          <w:szCs w:val="20"/>
        </w:rPr>
        <w:t>A</w:t>
      </w:r>
      <w:r>
        <w:rPr>
          <w:b/>
          <w:bCs/>
          <w:sz w:val="20"/>
          <w:szCs w:val="20"/>
        </w:rPr>
        <w:t>TED BALANCE SHEET</w:t>
      </w:r>
      <w:r>
        <w:rPr>
          <w:b/>
          <w:bCs/>
          <w:sz w:val="20"/>
          <w:szCs w:val="20"/>
        </w:rPr>
        <w:t>S</w:t>
      </w:r>
    </w:p>
    <w:p w:rsidR="00000000" w:rsidRDefault="00A749A6">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A749A6">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A749A6">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55"/>
        <w:gridCol w:w="133"/>
        <w:gridCol w:w="160"/>
        <w:gridCol w:w="1047"/>
        <w:gridCol w:w="127"/>
        <w:gridCol w:w="134"/>
        <w:gridCol w:w="160"/>
        <w:gridCol w:w="1048"/>
        <w:gridCol w:w="142"/>
      </w:tblGrid>
      <w:tr w:rsidR="00000000">
        <w:trPr>
          <w:tblCellSpacing w:w="15" w:type="dxa"/>
        </w:trPr>
        <w:tc>
          <w:tcPr>
            <w:tcW w:w="3332" w:type="pct"/>
            <w:vAlign w:val="center"/>
            <w:hideMark/>
          </w:tcPr>
          <w:p w:rsidR="00000000" w:rsidRDefault="00A749A6">
            <w:pPr>
              <w:rPr>
                <w:sz w:val="20"/>
                <w:szCs w:val="20"/>
              </w:rPr>
            </w:pPr>
          </w:p>
        </w:tc>
        <w:tc>
          <w:tcPr>
            <w:tcW w:w="81"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52"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81"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52"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September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b/>
                <w:bCs/>
                <w:sz w:val="20"/>
                <w:szCs w:val="20"/>
              </w:rPr>
              <w:t>ASSET</w:t>
            </w:r>
            <w:r>
              <w:rPr>
                <w:b/>
                <w:bCs/>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Current assets</w:t>
            </w: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Cash and cash equivalent</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7,06</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5,80</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 xml:space="preserve">Accounts receivable, less allowance for doubtful accounts of </w:t>
            </w:r>
            <w:r>
              <w:rPr>
                <w:sz w:val="20"/>
                <w:szCs w:val="20"/>
              </w:rPr>
              <w:t>$</w:t>
            </w:r>
            <w:r>
              <w:rPr>
                <w:sz w:val="20"/>
                <w:szCs w:val="20"/>
              </w:rPr>
              <w:t>5,76</w:t>
            </w:r>
            <w:r>
              <w:rPr>
                <w:sz w:val="20"/>
                <w:szCs w:val="20"/>
              </w:rPr>
              <w:t>0</w:t>
            </w:r>
            <w:r>
              <w:rPr>
                <w:sz w:val="20"/>
                <w:szCs w:val="20"/>
              </w:rPr>
              <w:t> and</w:t>
            </w:r>
            <w:r>
              <w:rPr>
                <w:sz w:val="20"/>
                <w:szCs w:val="20"/>
              </w:rPr>
              <w:br/>
              <w:t>   </w:t>
            </w:r>
            <w:r>
              <w:rPr>
                <w:sz w:val="20"/>
                <w:szCs w:val="20"/>
              </w:rPr>
              <w:t>$</w:t>
            </w:r>
            <w:r>
              <w:rPr>
                <w:sz w:val="20"/>
                <w:szCs w:val="20"/>
              </w:rPr>
              <w:t>3,33</w:t>
            </w:r>
            <w:r>
              <w:rPr>
                <w:sz w:val="20"/>
                <w:szCs w:val="20"/>
              </w:rPr>
              <w:t>2</w:t>
            </w:r>
            <w:r>
              <w:rPr>
                <w:sz w:val="20"/>
                <w:szCs w:val="20"/>
              </w:rPr>
              <w:t>, respectivel</w:t>
            </w:r>
            <w:r>
              <w:rPr>
                <w:sz w:val="20"/>
                <w:szCs w:val="20"/>
              </w:rPr>
              <w:t>y</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95,37</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71,37</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Inventorie</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66,32</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61,80</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Other current asset</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46,00</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41,12</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400"/>
              <w:rPr>
                <w:sz w:val="20"/>
                <w:szCs w:val="20"/>
              </w:rPr>
            </w:pPr>
            <w:r>
              <w:rPr>
                <w:sz w:val="20"/>
                <w:szCs w:val="20"/>
              </w:rPr>
              <w:t>Total current asset</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214,76</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180,10</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Property, plant and equipment, ne</w:t>
            </w:r>
            <w:r>
              <w:rPr>
                <w:sz w:val="20"/>
                <w:szCs w:val="20"/>
              </w:rPr>
              <w:t>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560,46</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569,13</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Operating lease right-of-use asset</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138,54</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129,99</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lastRenderedPageBreak/>
              <w:t>Goodwil</w:t>
            </w:r>
            <w:r>
              <w:rPr>
                <w:sz w:val="20"/>
                <w:szCs w:val="20"/>
              </w:rPr>
              <w:t>l</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1,106,62</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1,107,02</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Other intangible assets, ne</w:t>
            </w:r>
            <w:r>
              <w:rPr>
                <w:sz w:val="20"/>
                <w:szCs w:val="20"/>
              </w:rPr>
              <w:t>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34,10</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39,26</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Other asset</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60,88</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26,20</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400"/>
              <w:rPr>
                <w:sz w:val="20"/>
                <w:szCs w:val="20"/>
              </w:rPr>
            </w:pPr>
            <w:r>
              <w:rPr>
                <w:sz w:val="20"/>
                <w:szCs w:val="20"/>
              </w:rPr>
              <w:t>Total asset</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2,115,39</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2,051,73</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blCellSpacing w:w="15" w:type="dxa"/>
        </w:trPr>
        <w:tc>
          <w:tcPr>
            <w:tcW w:w="0" w:type="auto"/>
            <w:hideMark/>
          </w:tcPr>
          <w:p w:rsidR="00000000" w:rsidRDefault="00A749A6">
            <w:pPr>
              <w:pStyle w:val="a3"/>
              <w:spacing w:before="0" w:beforeAutospacing="0" w:after="0" w:afterAutospacing="0"/>
              <w:ind w:left="40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A749A6">
            <w:pPr>
              <w:pStyle w:val="a3"/>
              <w:spacing w:before="0" w:beforeAutospacing="0" w:after="0" w:afterAutospacing="0"/>
              <w:rPr>
                <w:sz w:val="20"/>
                <w:szCs w:val="20"/>
              </w:rPr>
            </w:pPr>
            <w:r>
              <w:rPr>
                <w:b/>
                <w:bCs/>
                <w:sz w:val="20"/>
                <w:szCs w:val="20"/>
              </w:rPr>
              <w:t>LIABILITIES AND PARTNERS’ CAPITA</w:t>
            </w:r>
            <w:r>
              <w:rPr>
                <w:b/>
                <w:bCs/>
                <w:sz w:val="20"/>
                <w:szCs w:val="20"/>
              </w:rPr>
              <w:t>L</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Current liabilities</w:t>
            </w: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Accounts payabl</w:t>
            </w:r>
            <w:r>
              <w:rPr>
                <w:sz w:val="20"/>
                <w:szCs w:val="20"/>
              </w:rPr>
              <w:t>e</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34,48</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39,16</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Accrued employment and benefit cost</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35,46</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40,81</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Customer deposits and advance</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82,56</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111,72</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Operating lease liabilitie</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32,10</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30,87</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Other current liabilitie</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57,87</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64,55</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400"/>
              <w:rPr>
                <w:sz w:val="20"/>
                <w:szCs w:val="20"/>
              </w:rPr>
            </w:pPr>
            <w:r>
              <w:rPr>
                <w:sz w:val="20"/>
                <w:szCs w:val="20"/>
              </w:rPr>
              <w:t>Total current liabilitie</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242,48</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287,14</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Long-term borrowing</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1,078,70</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1,118,01</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Accrued insuranc</w:t>
            </w:r>
            <w:r>
              <w:rPr>
                <w:sz w:val="20"/>
                <w:szCs w:val="20"/>
              </w:rPr>
              <w:t>e</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55,16</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49,42</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Operating lease liabilitie</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105,49</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98,53</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Other liabilitie</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67,69</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73,19</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400"/>
              <w:rPr>
                <w:sz w:val="20"/>
                <w:szCs w:val="20"/>
              </w:rPr>
            </w:pPr>
            <w:r>
              <w:rPr>
                <w:sz w:val="20"/>
                <w:szCs w:val="20"/>
              </w:rPr>
              <w:t>Total liabilitie</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1,549,54</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1,626,30</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Commitments and contingencie</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Partners’ capital</w:t>
            </w: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 xml:space="preserve">Common Unitholders </w:t>
            </w:r>
            <w:r>
              <w:rPr>
                <w:sz w:val="20"/>
                <w:szCs w:val="20"/>
              </w:rPr>
              <w:t>(</w:t>
            </w:r>
            <w:r>
              <w:rPr>
                <w:sz w:val="20"/>
                <w:szCs w:val="20"/>
              </w:rPr>
              <w:t>62,97</w:t>
            </w:r>
            <w:r>
              <w:rPr>
                <w:sz w:val="20"/>
                <w:szCs w:val="20"/>
              </w:rPr>
              <w:t>5</w:t>
            </w:r>
            <w:r>
              <w:rPr>
                <w:sz w:val="20"/>
                <w:szCs w:val="20"/>
              </w:rPr>
              <w:t> and</w:t>
            </w:r>
            <w:r>
              <w:rPr>
                <w:sz w:val="20"/>
                <w:szCs w:val="20"/>
              </w:rPr>
              <w:t xml:space="preserve"> </w:t>
            </w:r>
            <w:r>
              <w:rPr>
                <w:sz w:val="20"/>
                <w:szCs w:val="20"/>
              </w:rPr>
              <w:t>62,53</w:t>
            </w:r>
            <w:r>
              <w:rPr>
                <w:sz w:val="20"/>
                <w:szCs w:val="20"/>
              </w:rPr>
              <w:t>8</w:t>
            </w:r>
            <w:r>
              <w:rPr>
                <w:sz w:val="20"/>
                <w:szCs w:val="20"/>
              </w:rPr>
              <w:t> units issued and outstanding at</w:t>
            </w:r>
            <w:r>
              <w:rPr>
                <w:sz w:val="20"/>
                <w:szCs w:val="20"/>
              </w:rPr>
              <w:br/>
              <w:t>   June 25, 2022 and September 25, 2021, respectively</w:t>
            </w: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581,92</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443,00</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Accumulated other comprehensive los</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16,06</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17,58</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ind w:left="400"/>
              <w:rPr>
                <w:sz w:val="20"/>
                <w:szCs w:val="20"/>
              </w:rPr>
            </w:pPr>
            <w:r>
              <w:rPr>
                <w:sz w:val="20"/>
                <w:szCs w:val="20"/>
              </w:rPr>
              <w:t>Total partners’ capita</w:t>
            </w:r>
            <w:r>
              <w:rPr>
                <w:sz w:val="20"/>
                <w:szCs w:val="20"/>
              </w:rPr>
              <w:t>l</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565,85</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425,42</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400"/>
              <w:rPr>
                <w:sz w:val="20"/>
                <w:szCs w:val="20"/>
              </w:rPr>
            </w:pPr>
            <w:r>
              <w:rPr>
                <w:sz w:val="20"/>
                <w:szCs w:val="20"/>
              </w:rPr>
              <w:t>Total liabilities and partners’ capita</w:t>
            </w:r>
            <w:r>
              <w:rPr>
                <w:sz w:val="20"/>
                <w:szCs w:val="20"/>
              </w:rPr>
              <w:t>l</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2,115,39</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2,051,73</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bl>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The accompanying notes are an integral part of these condensed consolidated financial statements</w:t>
      </w:r>
      <w:r>
        <w:rPr>
          <w:sz w:val="20"/>
          <w:szCs w:val="20"/>
        </w:rPr>
        <w:t>.</w:t>
      </w:r>
    </w:p>
    <w:p w:rsidR="00000000" w:rsidRDefault="00A749A6">
      <w:pPr>
        <w:pStyle w:val="a3"/>
        <w:spacing w:before="0" w:beforeAutospacing="0" w:after="0" w:afterAutospacing="0"/>
        <w:jc w:val="center"/>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1</w:t>
      </w:r>
    </w:p>
    <w:p w:rsidR="00000000" w:rsidRDefault="00A749A6">
      <w:pPr>
        <w:rPr>
          <w:rFonts w:eastAsia="Times New Roman"/>
        </w:rPr>
      </w:pPr>
      <w:r>
        <w:rPr>
          <w:rFonts w:eastAsia="Times New Roman"/>
        </w:rPr>
        <w:pict>
          <v:rect id="_x0000_i1029" style="width:0;height:1.5pt" o:hralign="center" o:hrstd="t" o:hr="t" fillcolor="#a0a0a0" stroked="f"/>
        </w:pict>
      </w:r>
    </w:p>
    <w:p w:rsidR="00000000" w:rsidRDefault="00A749A6">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0" w:beforeAutospacing="0" w:after="0" w:afterAutospacing="0"/>
        <w:jc w:val="center"/>
        <w:rPr>
          <w:sz w:val="20"/>
          <w:szCs w:val="20"/>
        </w:rPr>
      </w:pPr>
      <w:r>
        <w:rPr>
          <w:b/>
          <w:bCs/>
          <w:sz w:val="20"/>
          <w:szCs w:val="20"/>
        </w:rPr>
        <w:t>SUBURBAN PROPANE PARTNERS, L.P. AND SU</w:t>
      </w:r>
      <w:r>
        <w:rPr>
          <w:b/>
          <w:bCs/>
          <w:sz w:val="20"/>
          <w:szCs w:val="20"/>
        </w:rPr>
        <w:t>BSIDIARIE</w:t>
      </w:r>
      <w:r>
        <w:rPr>
          <w:b/>
          <w:bCs/>
          <w:sz w:val="20"/>
          <w:szCs w:val="20"/>
        </w:rPr>
        <w:t>S</w:t>
      </w:r>
    </w:p>
    <w:p w:rsidR="00000000" w:rsidRDefault="00A749A6">
      <w:pPr>
        <w:pStyle w:val="a3"/>
        <w:spacing w:before="240" w:beforeAutospacing="0" w:after="0" w:afterAutospacing="0"/>
        <w:jc w:val="center"/>
        <w:rPr>
          <w:sz w:val="20"/>
          <w:szCs w:val="20"/>
        </w:rPr>
      </w:pPr>
      <w:r>
        <w:rPr>
          <w:b/>
          <w:bCs/>
          <w:sz w:val="20"/>
          <w:szCs w:val="20"/>
        </w:rPr>
        <w:t xml:space="preserve">CONDENSED CONSOLIDATED </w:t>
      </w:r>
      <w:r>
        <w:rPr>
          <w:b/>
          <w:bCs/>
          <w:sz w:val="20"/>
          <w:szCs w:val="20"/>
        </w:rPr>
        <w:t>S</w:t>
      </w:r>
      <w:r>
        <w:rPr>
          <w:b/>
          <w:bCs/>
          <w:sz w:val="20"/>
          <w:szCs w:val="20"/>
        </w:rPr>
        <w:t>TATEMENTS OF OPERATION</w:t>
      </w:r>
      <w:r>
        <w:rPr>
          <w:b/>
          <w:bCs/>
          <w:sz w:val="20"/>
          <w:szCs w:val="20"/>
        </w:rPr>
        <w:t>S</w:t>
      </w:r>
    </w:p>
    <w:p w:rsidR="00000000" w:rsidRDefault="00A749A6">
      <w:pPr>
        <w:pStyle w:val="a3"/>
        <w:spacing w:before="0" w:beforeAutospacing="0" w:after="0" w:afterAutospacing="0"/>
        <w:jc w:val="center"/>
        <w:rPr>
          <w:sz w:val="20"/>
          <w:szCs w:val="20"/>
        </w:rPr>
      </w:pPr>
      <w:r>
        <w:rPr>
          <w:b/>
          <w:bCs/>
          <w:sz w:val="20"/>
          <w:szCs w:val="20"/>
        </w:rPr>
        <w:t>(in thousands, except per unit amounts</w:t>
      </w:r>
      <w:r>
        <w:rPr>
          <w:b/>
          <w:bCs/>
          <w:sz w:val="20"/>
          <w:szCs w:val="20"/>
        </w:rPr>
        <w:t>)</w:t>
      </w:r>
    </w:p>
    <w:p w:rsidR="00000000" w:rsidRDefault="00A749A6">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A749A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82"/>
        <w:gridCol w:w="123"/>
        <w:gridCol w:w="160"/>
        <w:gridCol w:w="1043"/>
        <w:gridCol w:w="127"/>
        <w:gridCol w:w="124"/>
        <w:gridCol w:w="160"/>
        <w:gridCol w:w="1045"/>
        <w:gridCol w:w="142"/>
      </w:tblGrid>
      <w:tr w:rsidR="00000000">
        <w:trPr>
          <w:tblCellSpacing w:w="15" w:type="dxa"/>
        </w:trPr>
        <w:tc>
          <w:tcPr>
            <w:tcW w:w="3349" w:type="pct"/>
            <w:vAlign w:val="center"/>
            <w:hideMark/>
          </w:tcPr>
          <w:p w:rsidR="00000000" w:rsidRDefault="00A749A6">
            <w:pPr>
              <w:rPr>
                <w:sz w:val="20"/>
                <w:szCs w:val="20"/>
              </w:rPr>
            </w:pPr>
          </w:p>
        </w:tc>
        <w:tc>
          <w:tcPr>
            <w:tcW w:w="75"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49"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75"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5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26</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Revenue</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Propan</w:t>
            </w:r>
            <w:r>
              <w:rPr>
                <w:sz w:val="20"/>
                <w:szCs w:val="20"/>
              </w:rPr>
              <w:t>e</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260,63</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208,68</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19,27</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11,31</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Natural gas and electricit</w:t>
            </w:r>
            <w:r>
              <w:rPr>
                <w:sz w:val="20"/>
                <w:szCs w:val="20"/>
              </w:rPr>
              <w:t>y</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7,54</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5,83</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All othe</w:t>
            </w:r>
            <w:r>
              <w:rPr>
                <w:sz w:val="20"/>
                <w:szCs w:val="20"/>
              </w:rPr>
              <w:t>r</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12,87</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12,24</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300,33</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238,08</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Costs and expense</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Cost of products sol</w:t>
            </w:r>
            <w:r>
              <w:rPr>
                <w:sz w:val="20"/>
                <w:szCs w:val="20"/>
              </w:rPr>
              <w:t>d</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140,93</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83,05</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Operatin</w:t>
            </w:r>
            <w:r>
              <w:rPr>
                <w:sz w:val="20"/>
                <w:szCs w:val="20"/>
              </w:rPr>
              <w:t>g</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109,08</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102,01</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21,54</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17,75</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Depreciation and amortizatio</w:t>
            </w:r>
            <w:r>
              <w:rPr>
                <w:sz w:val="20"/>
                <w:szCs w:val="20"/>
              </w:rPr>
              <w:t>n</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14,00</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27,25</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285,56</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230,08</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Operating incom</w:t>
            </w:r>
            <w:r>
              <w:rPr>
                <w:sz w:val="20"/>
                <w:szCs w:val="20"/>
              </w:rPr>
              <w:t>e</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14,77</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8,00</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Loss on debt extinguishmen</w:t>
            </w:r>
            <w:r>
              <w:rPr>
                <w:sz w:val="20"/>
                <w:szCs w:val="20"/>
              </w:rPr>
              <w:t>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16,02</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Interest expense, ne</w:t>
            </w:r>
            <w:r>
              <w:rPr>
                <w:sz w:val="20"/>
                <w:szCs w:val="20"/>
              </w:rPr>
              <w:t>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15,00</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16,73</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Other, ne</w:t>
            </w:r>
            <w:r>
              <w:rPr>
                <w:sz w:val="20"/>
                <w:szCs w:val="20"/>
              </w:rPr>
              <w:t>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2,03</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1,08</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A749A6">
            <w:pPr>
              <w:pStyle w:val="a3"/>
              <w:spacing w:before="0" w:beforeAutospacing="0" w:after="0" w:afterAutospacing="0"/>
              <w:rPr>
                <w:sz w:val="20"/>
                <w:szCs w:val="20"/>
              </w:rPr>
            </w:pPr>
            <w:r>
              <w:rPr>
                <w:sz w:val="20"/>
                <w:szCs w:val="20"/>
              </w:rPr>
              <w:t>(Loss) before provision for income taxe</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2,26</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25,84</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Provision for income taxe</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27</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17</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Net (loss</w:t>
            </w: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2,53</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26,02</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Net (loss) per Common Unit - basi</w:t>
            </w:r>
            <w:r>
              <w:rPr>
                <w:sz w:val="20"/>
                <w:szCs w:val="20"/>
              </w:rPr>
              <w:t>c</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0.0</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0.4</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Weighted average number of Common Units outstanding - basi</w:t>
            </w:r>
            <w:r>
              <w:rPr>
                <w:sz w:val="20"/>
                <w:szCs w:val="20"/>
              </w:rPr>
              <w:t>c</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63,28</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62,75</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Net (loss) per Common Unit - dilute</w:t>
            </w:r>
            <w:r>
              <w:rPr>
                <w:sz w:val="20"/>
                <w:szCs w:val="20"/>
              </w:rPr>
              <w:t>d</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0.0</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0.4</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Weighted average number of Common Units outstanding - dilute</w:t>
            </w:r>
            <w:r>
              <w:rPr>
                <w:sz w:val="20"/>
                <w:szCs w:val="20"/>
              </w:rPr>
              <w:t>d</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63,28</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62,75</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bl>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The accompanying notes are an integral part of these condensed consolidated financial statements</w:t>
      </w:r>
      <w:r>
        <w:rPr>
          <w:sz w:val="20"/>
          <w:szCs w:val="20"/>
        </w:rPr>
        <w:t>.</w:t>
      </w:r>
    </w:p>
    <w:p w:rsidR="00000000" w:rsidRDefault="00A749A6">
      <w:pPr>
        <w:pStyle w:val="a3"/>
        <w:spacing w:before="0" w:beforeAutospacing="0" w:after="0" w:afterAutospacing="0"/>
        <w:jc w:val="center"/>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2</w:t>
      </w:r>
    </w:p>
    <w:p w:rsidR="00000000" w:rsidRDefault="00A749A6">
      <w:pPr>
        <w:rPr>
          <w:rFonts w:eastAsia="Times New Roman"/>
        </w:rPr>
      </w:pPr>
      <w:r>
        <w:rPr>
          <w:rFonts w:eastAsia="Times New Roman"/>
        </w:rPr>
        <w:pict>
          <v:rect id="_x0000_i1030" style="width:0;height:1.5pt" o:hralign="center" o:hrstd="t" o:hr="t" fillcolor="#a0a0a0" stroked="f"/>
        </w:pict>
      </w:r>
    </w:p>
    <w:p w:rsidR="00000000" w:rsidRDefault="00A749A6">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0" w:beforeAutospacing="0" w:after="0" w:afterAutospacing="0"/>
        <w:jc w:val="center"/>
        <w:rPr>
          <w:sz w:val="20"/>
          <w:szCs w:val="20"/>
        </w:rPr>
      </w:pPr>
      <w:r>
        <w:rPr>
          <w:b/>
          <w:bCs/>
          <w:sz w:val="20"/>
          <w:szCs w:val="20"/>
        </w:rPr>
        <w:t>SUBURBAN PROPANE PARTNERS, L.P. AND SUBSIDIARIE</w:t>
      </w:r>
      <w:r>
        <w:rPr>
          <w:b/>
          <w:bCs/>
          <w:sz w:val="20"/>
          <w:szCs w:val="20"/>
        </w:rPr>
        <w:t>S</w:t>
      </w:r>
    </w:p>
    <w:p w:rsidR="00000000" w:rsidRDefault="00A749A6">
      <w:pPr>
        <w:pStyle w:val="a3"/>
        <w:spacing w:before="240" w:beforeAutospacing="0" w:after="0" w:afterAutospacing="0"/>
        <w:jc w:val="center"/>
        <w:rPr>
          <w:sz w:val="20"/>
          <w:szCs w:val="20"/>
        </w:rPr>
      </w:pPr>
      <w:r>
        <w:rPr>
          <w:b/>
          <w:bCs/>
          <w:sz w:val="20"/>
          <w:szCs w:val="20"/>
        </w:rPr>
        <w:t>CONDENSED CONSOLIDATED</w:t>
      </w:r>
      <w:r>
        <w:rPr>
          <w:b/>
          <w:bCs/>
          <w:sz w:val="20"/>
          <w:szCs w:val="20"/>
        </w:rPr>
        <w:t xml:space="preserve"> </w:t>
      </w:r>
      <w:r>
        <w:rPr>
          <w:b/>
          <w:bCs/>
          <w:sz w:val="20"/>
          <w:szCs w:val="20"/>
        </w:rPr>
        <w:t>STATEMENTS OF OPERATION</w:t>
      </w:r>
      <w:r>
        <w:rPr>
          <w:b/>
          <w:bCs/>
          <w:sz w:val="20"/>
          <w:szCs w:val="20"/>
        </w:rPr>
        <w:t>S</w:t>
      </w:r>
    </w:p>
    <w:p w:rsidR="00000000" w:rsidRDefault="00A749A6">
      <w:pPr>
        <w:pStyle w:val="a3"/>
        <w:spacing w:before="0" w:beforeAutospacing="0" w:after="0" w:afterAutospacing="0"/>
        <w:jc w:val="center"/>
        <w:rPr>
          <w:sz w:val="20"/>
          <w:szCs w:val="20"/>
        </w:rPr>
      </w:pPr>
      <w:r>
        <w:rPr>
          <w:b/>
          <w:bCs/>
          <w:sz w:val="20"/>
          <w:szCs w:val="20"/>
        </w:rPr>
        <w:t>(in thousands, except per unit amounts</w:t>
      </w:r>
      <w:r>
        <w:rPr>
          <w:b/>
          <w:bCs/>
          <w:sz w:val="20"/>
          <w:szCs w:val="20"/>
        </w:rPr>
        <w:t>)</w:t>
      </w:r>
    </w:p>
    <w:p w:rsidR="00000000" w:rsidRDefault="00A749A6">
      <w:pPr>
        <w:pStyle w:val="a3"/>
        <w:spacing w:before="0" w:beforeAutospacing="0" w:after="0" w:afterAutospacing="0"/>
        <w:jc w:val="center"/>
        <w:rPr>
          <w:sz w:val="20"/>
          <w:szCs w:val="20"/>
        </w:rPr>
      </w:pPr>
      <w:r>
        <w:rPr>
          <w:b/>
          <w:bCs/>
          <w:sz w:val="20"/>
          <w:szCs w:val="20"/>
        </w:rPr>
        <w:t>(un</w:t>
      </w:r>
      <w:r>
        <w:rPr>
          <w:b/>
          <w:bCs/>
          <w:sz w:val="20"/>
          <w:szCs w:val="20"/>
        </w:rPr>
        <w:t>audited</w:t>
      </w:r>
      <w:r>
        <w:rPr>
          <w:b/>
          <w:bCs/>
          <w:sz w:val="20"/>
          <w:szCs w:val="20"/>
        </w:rPr>
        <w:t>)</w:t>
      </w:r>
    </w:p>
    <w:p w:rsidR="00000000" w:rsidRDefault="00A749A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83"/>
        <w:gridCol w:w="132"/>
        <w:gridCol w:w="160"/>
        <w:gridCol w:w="1035"/>
        <w:gridCol w:w="110"/>
        <w:gridCol w:w="132"/>
        <w:gridCol w:w="160"/>
        <w:gridCol w:w="1069"/>
        <w:gridCol w:w="125"/>
      </w:tblGrid>
      <w:tr w:rsidR="00000000">
        <w:trPr>
          <w:tblCellSpacing w:w="15" w:type="dxa"/>
        </w:trPr>
        <w:tc>
          <w:tcPr>
            <w:tcW w:w="3345" w:type="pct"/>
            <w:vAlign w:val="center"/>
            <w:hideMark/>
          </w:tcPr>
          <w:p w:rsidR="00000000" w:rsidRDefault="00A749A6">
            <w:pPr>
              <w:rPr>
                <w:sz w:val="20"/>
                <w:szCs w:val="20"/>
              </w:rPr>
            </w:pPr>
          </w:p>
        </w:tc>
        <w:tc>
          <w:tcPr>
            <w:tcW w:w="76"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4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76"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61"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rPr>
                <w:sz w:val="18"/>
                <w:szCs w:val="18"/>
              </w:rPr>
            </w:pPr>
            <w:r>
              <w:rPr>
                <w:sz w:val="18"/>
                <w:szCs w:val="18"/>
              </w:rPr>
              <w:t> </w:t>
            </w:r>
          </w:p>
        </w:tc>
        <w:tc>
          <w:tcPr>
            <w:tcW w:w="0" w:type="auto"/>
            <w:vAlign w:val="center"/>
            <w:hideMark/>
          </w:tcPr>
          <w:p w:rsidR="00000000" w:rsidRDefault="00A749A6">
            <w:pPr>
              <w:pStyle w:val="a3"/>
              <w:spacing w:before="0" w:beforeAutospacing="0" w:after="0" w:afterAutospacing="0"/>
              <w:jc w:val="center"/>
              <w:rPr>
                <w:sz w:val="18"/>
                <w:szCs w:val="18"/>
              </w:rPr>
            </w:pPr>
            <w:r>
              <w:rPr>
                <w:sz w:val="18"/>
                <w:szCs w:val="18"/>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Nine Months Ende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26</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Revenue</w:t>
            </w:r>
            <w:r>
              <w:rPr>
                <w:sz w:val="20"/>
                <w:szCs w:val="20"/>
              </w:rPr>
              <w:t>s</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Propan</w:t>
            </w:r>
            <w:r>
              <w:rPr>
                <w:sz w:val="20"/>
                <w:szCs w:val="20"/>
              </w:rPr>
              <w:t>e</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1,108,57</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958,64</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83,74</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59,07</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Natural gas and electricit</w:t>
            </w:r>
            <w:r>
              <w:rPr>
                <w:sz w:val="20"/>
                <w:szCs w:val="20"/>
              </w:rPr>
              <w:t>y</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31,16</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23,46</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All othe</w:t>
            </w:r>
            <w:r>
              <w:rPr>
                <w:sz w:val="20"/>
                <w:szCs w:val="20"/>
              </w:rPr>
              <w:t>r</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40,35</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39,33</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1,263,83</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1,080,51</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Costs and expense</w:t>
            </w:r>
            <w:r>
              <w:rPr>
                <w:sz w:val="20"/>
                <w:szCs w:val="20"/>
              </w:rPr>
              <w:t>s</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Cost of products sol</w:t>
            </w:r>
            <w:r>
              <w:rPr>
                <w:sz w:val="20"/>
                <w:szCs w:val="20"/>
              </w:rPr>
              <w:t>d</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576,29</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418,00</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Operatin</w:t>
            </w:r>
            <w:r>
              <w:rPr>
                <w:sz w:val="20"/>
                <w:szCs w:val="20"/>
              </w:rPr>
              <w:t>g</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334,22</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309,18</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64,96</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57,86</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Depreciation and amortizatio</w:t>
            </w:r>
            <w:r>
              <w:rPr>
                <w:sz w:val="20"/>
                <w:szCs w:val="20"/>
              </w:rPr>
              <w:t>n</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44,35</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82,61</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1,019,84</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867,66</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Operating incom</w:t>
            </w:r>
            <w:r>
              <w:rPr>
                <w:sz w:val="20"/>
                <w:szCs w:val="20"/>
              </w:rPr>
              <w:t>e</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243,98</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212,84</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Loss on debt extinguishmen</w:t>
            </w:r>
            <w:r>
              <w:rPr>
                <w:sz w:val="20"/>
                <w:szCs w:val="20"/>
              </w:rPr>
              <w:t>t</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16,02</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Interest expense, ne</w:t>
            </w:r>
            <w:r>
              <w:rPr>
                <w:sz w:val="20"/>
                <w:szCs w:val="20"/>
              </w:rPr>
              <w:t>t</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45,55</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52,96</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Other, ne</w:t>
            </w:r>
            <w:r>
              <w:rPr>
                <w:sz w:val="20"/>
                <w:szCs w:val="20"/>
              </w:rPr>
              <w:t>t</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4,39</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3,74</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Income before provision for income taxe</w:t>
            </w:r>
            <w:r>
              <w:rPr>
                <w:sz w:val="20"/>
                <w:szCs w:val="20"/>
              </w:rPr>
              <w:t>s</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194,03</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140,10</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Provision for income taxe</w:t>
            </w:r>
            <w:r>
              <w:rPr>
                <w:sz w:val="20"/>
                <w:szCs w:val="20"/>
              </w:rPr>
              <w:t>s</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17</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93</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Net incom</w:t>
            </w:r>
            <w:r>
              <w:rPr>
                <w:sz w:val="20"/>
                <w:szCs w:val="20"/>
              </w:rPr>
              <w:t>e</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193,86</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139,17</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Net income per Common Unit - basi</w:t>
            </w:r>
            <w:r>
              <w:rPr>
                <w:sz w:val="20"/>
                <w:szCs w:val="20"/>
              </w:rPr>
              <w:t>c</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3.0</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2.2</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Weighted average number of Common Units outstanding - basi</w:t>
            </w:r>
            <w:r>
              <w:rPr>
                <w:sz w:val="20"/>
                <w:szCs w:val="20"/>
              </w:rPr>
              <w:t>c</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63,20</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62,68</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Net income per Common Unit - dilute</w:t>
            </w:r>
            <w:r>
              <w:rPr>
                <w:sz w:val="20"/>
                <w:szCs w:val="20"/>
              </w:rPr>
              <w:t>d</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3.0</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2.2</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Weighted average number of Common Units outstanding - dilute</w:t>
            </w:r>
            <w:r>
              <w:rPr>
                <w:sz w:val="20"/>
                <w:szCs w:val="20"/>
              </w:rPr>
              <w:t>d</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63,83</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63,15</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bl>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The accompanying notes are an integral part of these condensed consolidated financial statements</w:t>
      </w:r>
      <w:r>
        <w:rPr>
          <w:sz w:val="20"/>
          <w:szCs w:val="20"/>
        </w:rPr>
        <w:t>.</w:t>
      </w:r>
    </w:p>
    <w:p w:rsidR="00000000" w:rsidRDefault="00A749A6">
      <w:pPr>
        <w:pStyle w:val="a3"/>
        <w:spacing w:before="0" w:beforeAutospacing="0" w:after="0" w:afterAutospacing="0"/>
        <w:jc w:val="center"/>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3</w:t>
      </w:r>
    </w:p>
    <w:p w:rsidR="00000000" w:rsidRDefault="00A749A6">
      <w:pPr>
        <w:rPr>
          <w:rFonts w:eastAsia="Times New Roman"/>
        </w:rPr>
      </w:pPr>
      <w:r>
        <w:rPr>
          <w:rFonts w:eastAsia="Times New Roman"/>
        </w:rPr>
        <w:pict>
          <v:rect id="_x0000_i1031" style="width:0;height:1.5pt" o:hralign="center" o:hrstd="t" o:hr="t" fillcolor="#a0a0a0" stroked="f"/>
        </w:pict>
      </w:r>
    </w:p>
    <w:p w:rsidR="00000000" w:rsidRDefault="00A749A6">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0" w:beforeAutospacing="0" w:after="0" w:afterAutospacing="0"/>
        <w:jc w:val="center"/>
        <w:rPr>
          <w:sz w:val="20"/>
          <w:szCs w:val="20"/>
        </w:rPr>
      </w:pPr>
      <w:r>
        <w:rPr>
          <w:b/>
          <w:bCs/>
          <w:sz w:val="20"/>
          <w:szCs w:val="20"/>
        </w:rPr>
        <w:t>SUBURBAN PROPANE PARTNERS, L.P. AND SU</w:t>
      </w:r>
      <w:r>
        <w:rPr>
          <w:b/>
          <w:bCs/>
          <w:sz w:val="20"/>
          <w:szCs w:val="20"/>
        </w:rPr>
        <w:t>BSIDIARIE</w:t>
      </w:r>
      <w:r>
        <w:rPr>
          <w:b/>
          <w:bCs/>
          <w:sz w:val="20"/>
          <w:szCs w:val="20"/>
        </w:rPr>
        <w:t>S</w:t>
      </w:r>
    </w:p>
    <w:p w:rsidR="00000000" w:rsidRDefault="00A749A6">
      <w:pPr>
        <w:pStyle w:val="a3"/>
        <w:spacing w:before="240" w:beforeAutospacing="0" w:after="0" w:afterAutospacing="0"/>
        <w:jc w:val="center"/>
        <w:rPr>
          <w:sz w:val="20"/>
          <w:szCs w:val="20"/>
        </w:rPr>
      </w:pPr>
      <w:r>
        <w:rPr>
          <w:b/>
          <w:bCs/>
          <w:sz w:val="20"/>
          <w:szCs w:val="20"/>
        </w:rPr>
        <w:t>CONDENSED CONSOLIDATED STATE</w:t>
      </w:r>
      <w:r>
        <w:rPr>
          <w:b/>
          <w:bCs/>
          <w:sz w:val="20"/>
          <w:szCs w:val="20"/>
        </w:rPr>
        <w:t>M</w:t>
      </w:r>
      <w:r>
        <w:rPr>
          <w:b/>
          <w:bCs/>
          <w:sz w:val="20"/>
          <w:szCs w:val="20"/>
        </w:rPr>
        <w:t>ENTS OF COMPREHENSIVE INCOM</w:t>
      </w:r>
      <w:r>
        <w:rPr>
          <w:b/>
          <w:bCs/>
          <w:sz w:val="20"/>
          <w:szCs w:val="20"/>
        </w:rPr>
        <w:t>E</w:t>
      </w:r>
    </w:p>
    <w:p w:rsidR="00000000" w:rsidRDefault="00A749A6">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A749A6">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A749A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7"/>
        <w:gridCol w:w="110"/>
        <w:gridCol w:w="160"/>
        <w:gridCol w:w="691"/>
        <w:gridCol w:w="127"/>
        <w:gridCol w:w="110"/>
        <w:gridCol w:w="160"/>
        <w:gridCol w:w="709"/>
        <w:gridCol w:w="127"/>
        <w:gridCol w:w="160"/>
        <w:gridCol w:w="710"/>
        <w:gridCol w:w="110"/>
        <w:gridCol w:w="110"/>
        <w:gridCol w:w="160"/>
        <w:gridCol w:w="710"/>
        <w:gridCol w:w="125"/>
      </w:tblGrid>
      <w:tr w:rsidR="00000000">
        <w:trPr>
          <w:tblCellSpacing w:w="15" w:type="dxa"/>
        </w:trPr>
        <w:tc>
          <w:tcPr>
            <w:tcW w:w="2573" w:type="pct"/>
            <w:vAlign w:val="center"/>
            <w:hideMark/>
          </w:tcPr>
          <w:p w:rsidR="00000000" w:rsidRDefault="00A749A6">
            <w:pPr>
              <w:rPr>
                <w:sz w:val="20"/>
                <w:szCs w:val="20"/>
              </w:rPr>
            </w:pPr>
          </w:p>
        </w:tc>
        <w:tc>
          <w:tcPr>
            <w:tcW w:w="5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59"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7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49"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7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Nine Months Ende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26</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26</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Net (loss) incom</w:t>
            </w:r>
            <w:r>
              <w:rPr>
                <w:sz w:val="20"/>
                <w:szCs w:val="20"/>
              </w:rPr>
              <w:t>e</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2,53</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26,02</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193,86</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139,17</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Other comprehensive income</w:t>
            </w: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Amortization of net actuarial losses and prior service</w:t>
            </w:r>
            <w:r>
              <w:rPr>
                <w:sz w:val="20"/>
                <w:szCs w:val="20"/>
              </w:rPr>
              <w:br/>
              <w:t>   credits into earning</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29</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59</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88</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1,77</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 xml:space="preserve">Recognition in earnings of net actuarial loss for pension </w:t>
            </w:r>
            <w:r>
              <w:rPr>
                <w:sz w:val="20"/>
                <w:szCs w:val="20"/>
              </w:rPr>
              <w:br/>
              <w:t>   settlemen</w:t>
            </w:r>
            <w:r>
              <w:rPr>
                <w:sz w:val="20"/>
                <w:szCs w:val="20"/>
              </w:rPr>
              <w:t>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63</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14</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63</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71</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Other comprehensive incom</w:t>
            </w:r>
            <w:r>
              <w:rPr>
                <w:sz w:val="20"/>
                <w:szCs w:val="20"/>
              </w:rPr>
              <w:t>e</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92</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73</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1,51</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2,49</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Total comprehensive (loss) incom</w:t>
            </w:r>
            <w:r>
              <w:rPr>
                <w:sz w:val="20"/>
                <w:szCs w:val="20"/>
              </w:rPr>
              <w:t>e</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1,60</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25,28</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195,38</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141,66</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bl>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The accompanying notes are an integral part of these condensed consolidated financial statements</w:t>
      </w:r>
      <w:r>
        <w:rPr>
          <w:sz w:val="20"/>
          <w:szCs w:val="20"/>
        </w:rPr>
        <w:t>.</w:t>
      </w:r>
    </w:p>
    <w:p w:rsidR="00000000" w:rsidRDefault="00A749A6">
      <w:pPr>
        <w:pStyle w:val="a3"/>
        <w:spacing w:before="0" w:beforeAutospacing="0" w:after="0" w:afterAutospacing="0"/>
        <w:jc w:val="center"/>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4</w:t>
      </w:r>
    </w:p>
    <w:p w:rsidR="00000000" w:rsidRDefault="00A749A6">
      <w:pPr>
        <w:rPr>
          <w:rFonts w:eastAsia="Times New Roman"/>
        </w:rPr>
      </w:pPr>
      <w:r>
        <w:rPr>
          <w:rFonts w:eastAsia="Times New Roman"/>
        </w:rPr>
        <w:pict>
          <v:rect id="_x0000_i1032" style="width:0;height:1.5pt" o:hralign="center" o:hrstd="t" o:hr="t" fillcolor="#a0a0a0" stroked="f"/>
        </w:pict>
      </w:r>
    </w:p>
    <w:p w:rsidR="00000000" w:rsidRDefault="00A749A6">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0" w:beforeAutospacing="0" w:after="0" w:afterAutospacing="0"/>
        <w:jc w:val="center"/>
        <w:rPr>
          <w:sz w:val="20"/>
          <w:szCs w:val="20"/>
        </w:rPr>
      </w:pPr>
      <w:r>
        <w:rPr>
          <w:b/>
          <w:bCs/>
          <w:sz w:val="20"/>
          <w:szCs w:val="20"/>
        </w:rPr>
        <w:t>SUBURBAN PROPANE PARTNERS, L.P. AND SU</w:t>
      </w:r>
      <w:r>
        <w:rPr>
          <w:b/>
          <w:bCs/>
          <w:sz w:val="20"/>
          <w:szCs w:val="20"/>
        </w:rPr>
        <w:t>BSIDIARIES</w:t>
      </w:r>
      <w:r>
        <w:rPr>
          <w:b/>
          <w:bCs/>
          <w:sz w:val="20"/>
          <w:szCs w:val="20"/>
        </w:rPr>
        <w:br/>
      </w:r>
      <w:r>
        <w:rPr>
          <w:b/>
          <w:bCs/>
          <w:sz w:val="20"/>
          <w:szCs w:val="20"/>
        </w:rPr>
        <w:t> </w:t>
      </w:r>
    </w:p>
    <w:p w:rsidR="00000000" w:rsidRDefault="00A749A6">
      <w:pPr>
        <w:pStyle w:val="a3"/>
        <w:spacing w:before="0" w:beforeAutospacing="0" w:after="0" w:afterAutospacing="0"/>
        <w:jc w:val="center"/>
        <w:rPr>
          <w:sz w:val="20"/>
          <w:szCs w:val="20"/>
        </w:rPr>
      </w:pPr>
      <w:r>
        <w:rPr>
          <w:b/>
          <w:bCs/>
          <w:sz w:val="20"/>
          <w:szCs w:val="20"/>
        </w:rPr>
        <w:t xml:space="preserve">CONDENSED CONSOLIDATED </w:t>
      </w:r>
      <w:r>
        <w:rPr>
          <w:b/>
          <w:bCs/>
          <w:sz w:val="20"/>
          <w:szCs w:val="20"/>
        </w:rPr>
        <w:t>S</w:t>
      </w:r>
      <w:r>
        <w:rPr>
          <w:b/>
          <w:bCs/>
          <w:sz w:val="20"/>
          <w:szCs w:val="20"/>
        </w:rPr>
        <w:t>TATEMENTS OF CASH FLOW</w:t>
      </w:r>
      <w:r>
        <w:rPr>
          <w:b/>
          <w:bCs/>
          <w:sz w:val="20"/>
          <w:szCs w:val="20"/>
        </w:rPr>
        <w:t>S</w:t>
      </w:r>
    </w:p>
    <w:p w:rsidR="00000000" w:rsidRDefault="00A749A6">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A749A6">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A749A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56"/>
        <w:gridCol w:w="131"/>
        <w:gridCol w:w="160"/>
        <w:gridCol w:w="1048"/>
        <w:gridCol w:w="127"/>
        <w:gridCol w:w="132"/>
        <w:gridCol w:w="160"/>
        <w:gridCol w:w="1050"/>
        <w:gridCol w:w="142"/>
      </w:tblGrid>
      <w:tr w:rsidR="00000000">
        <w:trPr>
          <w:tblCellSpacing w:w="15" w:type="dxa"/>
        </w:trPr>
        <w:tc>
          <w:tcPr>
            <w:tcW w:w="3333" w:type="pct"/>
            <w:vAlign w:val="center"/>
            <w:hideMark/>
          </w:tcPr>
          <w:p w:rsidR="00000000" w:rsidRDefault="00A749A6">
            <w:pPr>
              <w:rPr>
                <w:sz w:val="20"/>
                <w:szCs w:val="20"/>
              </w:rPr>
            </w:pPr>
          </w:p>
        </w:tc>
        <w:tc>
          <w:tcPr>
            <w:tcW w:w="8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52"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8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53"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Nine Months Ende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26</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Cash flows from operating activities</w:t>
            </w: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Net incom</w:t>
            </w:r>
            <w:r>
              <w:rPr>
                <w:sz w:val="20"/>
                <w:szCs w:val="20"/>
              </w:rPr>
              <w:t>e</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193,86</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139,17</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Adjustments to reconcile net income to net cash provided by operations</w:t>
            </w: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400"/>
              <w:rPr>
                <w:sz w:val="20"/>
                <w:szCs w:val="20"/>
              </w:rPr>
            </w:pPr>
            <w:r>
              <w:rPr>
                <w:sz w:val="20"/>
                <w:szCs w:val="20"/>
              </w:rPr>
              <w:t>Depreciation and amortizatio</w:t>
            </w:r>
            <w:r>
              <w:rPr>
                <w:sz w:val="20"/>
                <w:szCs w:val="20"/>
              </w:rPr>
              <w:t>n</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44,35</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82,61</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400"/>
              <w:rPr>
                <w:sz w:val="20"/>
                <w:szCs w:val="20"/>
              </w:rPr>
            </w:pPr>
            <w:r>
              <w:rPr>
                <w:sz w:val="20"/>
                <w:szCs w:val="20"/>
              </w:rPr>
              <w:t>Pension settlement charg</w:t>
            </w:r>
            <w:r>
              <w:rPr>
                <w:sz w:val="20"/>
                <w:szCs w:val="20"/>
              </w:rPr>
              <w:t>e</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63</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71</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400"/>
              <w:rPr>
                <w:sz w:val="20"/>
                <w:szCs w:val="20"/>
              </w:rPr>
            </w:pPr>
            <w:r>
              <w:rPr>
                <w:sz w:val="20"/>
                <w:szCs w:val="20"/>
              </w:rPr>
              <w:t>Loss on debt extinguishmen</w:t>
            </w:r>
            <w:r>
              <w:rPr>
                <w:sz w:val="20"/>
                <w:szCs w:val="20"/>
              </w:rPr>
              <w:t>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16,02</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400"/>
              <w:rPr>
                <w:sz w:val="20"/>
                <w:szCs w:val="20"/>
              </w:rPr>
            </w:pPr>
            <w:r>
              <w:rPr>
                <w:sz w:val="20"/>
                <w:szCs w:val="20"/>
              </w:rPr>
              <w:t>Compensation costs recognized under Restricted Unit Plan</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8,42</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7,52</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400"/>
              <w:rPr>
                <w:sz w:val="20"/>
                <w:szCs w:val="20"/>
              </w:rPr>
            </w:pPr>
            <w:r>
              <w:rPr>
                <w:sz w:val="20"/>
                <w:szCs w:val="20"/>
              </w:rPr>
              <w:t>Other, ne</w:t>
            </w:r>
            <w:r>
              <w:rPr>
                <w:sz w:val="20"/>
                <w:szCs w:val="20"/>
              </w:rPr>
              <w:t>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2,06</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2,74</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Changes in assets and liabilities</w:t>
            </w: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400"/>
              <w:rPr>
                <w:sz w:val="20"/>
                <w:szCs w:val="20"/>
              </w:rPr>
            </w:pPr>
            <w:r>
              <w:rPr>
                <w:sz w:val="20"/>
                <w:szCs w:val="20"/>
              </w:rPr>
              <w:t>Accounts receivabl</w:t>
            </w:r>
            <w:r>
              <w:rPr>
                <w:sz w:val="20"/>
                <w:szCs w:val="20"/>
              </w:rPr>
              <w:t>e</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24,00</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19,25</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ind w:left="400"/>
              <w:rPr>
                <w:sz w:val="20"/>
                <w:szCs w:val="20"/>
              </w:rPr>
            </w:pPr>
            <w:r>
              <w:rPr>
                <w:sz w:val="20"/>
                <w:szCs w:val="20"/>
              </w:rPr>
              <w:t>Inventorie</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4,52</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3,96</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ind w:left="400"/>
              <w:rPr>
                <w:sz w:val="20"/>
                <w:szCs w:val="20"/>
              </w:rPr>
            </w:pPr>
            <w:r>
              <w:rPr>
                <w:sz w:val="20"/>
                <w:szCs w:val="20"/>
              </w:rPr>
              <w:t>Other current and noncurrent asset</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14,58</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27,48</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ind w:left="400"/>
              <w:rPr>
                <w:sz w:val="20"/>
                <w:szCs w:val="20"/>
              </w:rPr>
            </w:pPr>
            <w:r>
              <w:rPr>
                <w:sz w:val="20"/>
                <w:szCs w:val="20"/>
              </w:rPr>
              <w:t>Accounts payabl</w:t>
            </w:r>
            <w:r>
              <w:rPr>
                <w:sz w:val="20"/>
                <w:szCs w:val="20"/>
              </w:rPr>
              <w:t>e</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4,62</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4,16</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400"/>
              <w:rPr>
                <w:sz w:val="20"/>
                <w:szCs w:val="20"/>
              </w:rPr>
            </w:pPr>
            <w:r>
              <w:rPr>
                <w:sz w:val="20"/>
                <w:szCs w:val="20"/>
              </w:rPr>
              <w:t>Accrued employment and benefit cost</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5,52</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1,99</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ind w:left="400"/>
              <w:rPr>
                <w:sz w:val="20"/>
                <w:szCs w:val="20"/>
              </w:rPr>
            </w:pPr>
            <w:r>
              <w:rPr>
                <w:sz w:val="20"/>
                <w:szCs w:val="20"/>
              </w:rPr>
              <w:t>Customer deposits and advance</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29,16</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28,61</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ind w:left="400"/>
              <w:rPr>
                <w:sz w:val="20"/>
                <w:szCs w:val="20"/>
              </w:rPr>
            </w:pPr>
            <w:r>
              <w:rPr>
                <w:sz w:val="20"/>
                <w:szCs w:val="20"/>
              </w:rPr>
              <w:t>Contributions to defined benefit pension pla</w:t>
            </w:r>
            <w:r>
              <w:rPr>
                <w:sz w:val="20"/>
                <w:szCs w:val="20"/>
              </w:rPr>
              <w:t>n</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2,22</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5,25</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ind w:left="400"/>
              <w:rPr>
                <w:sz w:val="20"/>
                <w:szCs w:val="20"/>
              </w:rPr>
            </w:pPr>
            <w:r>
              <w:rPr>
                <w:sz w:val="20"/>
                <w:szCs w:val="20"/>
              </w:rPr>
              <w:t>Other current and noncurrent liabilitie</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6,43</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14,37</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600"/>
              <w:rPr>
                <w:sz w:val="20"/>
                <w:szCs w:val="20"/>
              </w:rPr>
            </w:pPr>
            <w:r>
              <w:rPr>
                <w:sz w:val="20"/>
                <w:szCs w:val="20"/>
              </w:rPr>
              <w:t>Net cash provided by operating activitie</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171,13</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180,77</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Cash flows from investing activities</w:t>
            </w: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Capital expenditure</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33,30</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21,75</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Investment in and acquisition of businesse</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36,36</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8,31</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Proceeds from sale of busines</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85</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Proceeds from sale of property, plant and equipmen</w:t>
            </w:r>
            <w:r>
              <w:rPr>
                <w:sz w:val="20"/>
                <w:szCs w:val="20"/>
              </w:rPr>
              <w:t>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4,49</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2,26</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600"/>
              <w:rPr>
                <w:sz w:val="20"/>
                <w:szCs w:val="20"/>
              </w:rPr>
            </w:pPr>
            <w:r>
              <w:rPr>
                <w:sz w:val="20"/>
                <w:szCs w:val="20"/>
              </w:rPr>
              <w:t>Net cash (used in) investing activitie</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64,32</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27,80</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Cash flows from financing activities</w:t>
            </w: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Proceeds from long-term borrowing</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650,00</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Repayments of long-term borrowing</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786,33</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Proceeds from borrowings under revolving credit facilit</w:t>
            </w:r>
            <w:r>
              <w:rPr>
                <w:sz w:val="20"/>
                <w:szCs w:val="20"/>
              </w:rPr>
              <w:t>y</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270,20</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385,50</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Repayments of borrowings under revolving credit facilit</w:t>
            </w:r>
            <w:r>
              <w:rPr>
                <w:sz w:val="20"/>
                <w:szCs w:val="20"/>
              </w:rPr>
              <w:t>y</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310,80</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328,72</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Issuance costs associated with long-term borrowing</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10,77</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Partnership distribution</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61,25</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56,15</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Other, ne</w:t>
            </w:r>
            <w:r>
              <w:rPr>
                <w:sz w:val="20"/>
                <w:szCs w:val="20"/>
              </w:rPr>
              <w:t>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3,69</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3,61</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ind w:left="600"/>
              <w:rPr>
                <w:sz w:val="20"/>
                <w:szCs w:val="20"/>
              </w:rPr>
            </w:pPr>
            <w:r>
              <w:rPr>
                <w:sz w:val="20"/>
                <w:szCs w:val="20"/>
              </w:rPr>
              <w:t>Net cash (used in) financing activitie</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105,55</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150,10</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Net increase in cash and cash equivalent</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1,25</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2,86</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Cash and cash equivalents at beginning of perio</w:t>
            </w:r>
            <w:r>
              <w:rPr>
                <w:sz w:val="20"/>
                <w:szCs w:val="20"/>
              </w:rPr>
              <w:t>d</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5,80</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3,14</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Cash and cash equivalents at end of perio</w:t>
            </w:r>
            <w:r>
              <w:rPr>
                <w:sz w:val="20"/>
                <w:szCs w:val="20"/>
              </w:rPr>
              <w:t>d</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7,06</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6,00</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bl>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The accompanying notes are an integral part of these condensed consolidated financial statements</w:t>
      </w:r>
      <w:r>
        <w:rPr>
          <w:sz w:val="20"/>
          <w:szCs w:val="20"/>
        </w:rPr>
        <w:t>.</w:t>
      </w:r>
    </w:p>
    <w:p w:rsidR="00000000" w:rsidRDefault="00A749A6">
      <w:pPr>
        <w:pStyle w:val="a3"/>
        <w:spacing w:before="0" w:beforeAutospacing="0" w:after="0" w:afterAutospacing="0"/>
        <w:jc w:val="center"/>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5</w:t>
      </w:r>
    </w:p>
    <w:p w:rsidR="00000000" w:rsidRDefault="00A749A6">
      <w:pPr>
        <w:rPr>
          <w:rFonts w:eastAsia="Times New Roman"/>
        </w:rPr>
      </w:pPr>
      <w:r>
        <w:rPr>
          <w:rFonts w:eastAsia="Times New Roman"/>
        </w:rPr>
        <w:pict>
          <v:rect id="_x0000_i1033" style="width:0;height:1.5pt" o:hralign="center" o:hrstd="t" o:hr="t" fillcolor="#a0a0a0" stroked="f"/>
        </w:pict>
      </w:r>
    </w:p>
    <w:p w:rsidR="00000000" w:rsidRDefault="00A749A6">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0" w:beforeAutospacing="0" w:after="0" w:afterAutospacing="0"/>
        <w:jc w:val="center"/>
        <w:rPr>
          <w:sz w:val="20"/>
          <w:szCs w:val="20"/>
        </w:rPr>
      </w:pPr>
      <w:r>
        <w:rPr>
          <w:b/>
          <w:bCs/>
          <w:sz w:val="20"/>
          <w:szCs w:val="20"/>
        </w:rPr>
        <w:t>SUBURBAN PROPANE PARTNERS, L.P. AND SUBSIDIARIE</w:t>
      </w:r>
      <w:r>
        <w:rPr>
          <w:b/>
          <w:bCs/>
          <w:sz w:val="20"/>
          <w:szCs w:val="20"/>
        </w:rPr>
        <w:t>S</w:t>
      </w:r>
    </w:p>
    <w:p w:rsidR="00000000" w:rsidRDefault="00A749A6">
      <w:pPr>
        <w:pStyle w:val="a3"/>
        <w:spacing w:before="240" w:beforeAutospacing="0" w:after="0" w:afterAutospacing="0"/>
        <w:jc w:val="center"/>
        <w:rPr>
          <w:sz w:val="20"/>
          <w:szCs w:val="20"/>
        </w:rPr>
      </w:pPr>
      <w:r>
        <w:rPr>
          <w:b/>
          <w:bCs/>
          <w:sz w:val="20"/>
          <w:szCs w:val="20"/>
        </w:rPr>
        <w:t>CONDENSED CONSOLIDATED STA</w:t>
      </w:r>
      <w:r>
        <w:rPr>
          <w:b/>
          <w:bCs/>
          <w:sz w:val="20"/>
          <w:szCs w:val="20"/>
        </w:rPr>
        <w:t>T</w:t>
      </w:r>
      <w:r>
        <w:rPr>
          <w:b/>
          <w:bCs/>
          <w:sz w:val="20"/>
          <w:szCs w:val="20"/>
        </w:rPr>
        <w:t>EMENTS OF PARTNERS’ CAPITA</w:t>
      </w:r>
      <w:r>
        <w:rPr>
          <w:b/>
          <w:bCs/>
          <w:sz w:val="20"/>
          <w:szCs w:val="20"/>
        </w:rPr>
        <w:t>L</w:t>
      </w:r>
    </w:p>
    <w:p w:rsidR="00000000" w:rsidRDefault="00A749A6">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A749A6">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A749A6">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7"/>
        <w:gridCol w:w="110"/>
        <w:gridCol w:w="110"/>
        <w:gridCol w:w="793"/>
        <w:gridCol w:w="110"/>
        <w:gridCol w:w="110"/>
        <w:gridCol w:w="160"/>
        <w:gridCol w:w="775"/>
        <w:gridCol w:w="127"/>
        <w:gridCol w:w="110"/>
        <w:gridCol w:w="162"/>
        <w:gridCol w:w="1007"/>
        <w:gridCol w:w="127"/>
        <w:gridCol w:w="110"/>
        <w:gridCol w:w="160"/>
        <w:gridCol w:w="746"/>
        <w:gridCol w:w="142"/>
      </w:tblGrid>
      <w:tr w:rsidR="00000000">
        <w:trPr>
          <w:tblCellSpacing w:w="15" w:type="dxa"/>
        </w:trPr>
        <w:tc>
          <w:tcPr>
            <w:tcW w:w="2216" w:type="pct"/>
            <w:vAlign w:val="center"/>
            <w:hideMark/>
          </w:tcPr>
          <w:p w:rsidR="00000000" w:rsidRDefault="00A749A6">
            <w:pPr>
              <w:rPr>
                <w:sz w:val="20"/>
                <w:szCs w:val="20"/>
              </w:rPr>
            </w:pPr>
          </w:p>
        </w:tc>
        <w:tc>
          <w:tcPr>
            <w:tcW w:w="62"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36"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2"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25"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2"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49"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2"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22"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A749A6">
            <w:pPr>
              <w:pStyle w:val="a3"/>
              <w:spacing w:before="0" w:beforeAutospacing="0" w:after="0" w:afterAutospacing="0"/>
              <w:jc w:val="center"/>
              <w:rPr>
                <w:sz w:val="16"/>
                <w:szCs w:val="16"/>
              </w:rPr>
            </w:pPr>
            <w:r>
              <w:rPr>
                <w:b/>
                <w:bCs/>
                <w:sz w:val="16"/>
                <w:szCs w:val="16"/>
              </w:rPr>
              <w:t>Three Months Ended June 25, 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Accumulate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Othe</w:t>
            </w:r>
            <w:r>
              <w:rPr>
                <w:b/>
                <w:bCs/>
                <w:sz w:val="16"/>
                <w:szCs w:val="16"/>
              </w:rPr>
              <w:t>r</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Number o</w:t>
            </w:r>
            <w:r>
              <w:rPr>
                <w:b/>
                <w:bCs/>
                <w:sz w:val="16"/>
                <w:szCs w:val="16"/>
              </w:rPr>
              <w:t>f</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Commo</w:t>
            </w:r>
            <w:r>
              <w:rPr>
                <w:b/>
                <w:bCs/>
                <w:sz w:val="16"/>
                <w:szCs w:val="16"/>
              </w:rPr>
              <w:t>n</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Comprehensiv</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Partners</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Common Unit</w:t>
            </w:r>
            <w:r>
              <w:rPr>
                <w:b/>
                <w:bCs/>
                <w:sz w:val="16"/>
                <w:szCs w:val="16"/>
              </w:rPr>
              <w:t>s</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Unitholder</w:t>
            </w:r>
            <w:r>
              <w:rPr>
                <w:b/>
                <w:bCs/>
                <w:sz w:val="16"/>
                <w:szCs w:val="16"/>
              </w:rPr>
              <w:t>s</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(Loss</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Capita</w:t>
            </w:r>
            <w:r>
              <w:rPr>
                <w:b/>
                <w:bCs/>
                <w:sz w:val="16"/>
                <w:szCs w:val="16"/>
              </w:rPr>
              <w:t>l</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Balance, beginning of perio</w:t>
            </w:r>
            <w:r>
              <w:rPr>
                <w:sz w:val="20"/>
                <w:szCs w:val="20"/>
              </w:rPr>
              <w:t>d</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62,96</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602,14</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16,99</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585,14</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Net (loss</w:t>
            </w: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2,53</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2,53</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Other comprehensive incom</w:t>
            </w:r>
            <w:r>
              <w:rPr>
                <w:sz w:val="20"/>
                <w:szCs w:val="20"/>
              </w:rPr>
              <w:t>e</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92</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92</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Partnership distribution</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20,46</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20,46</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Common Units issued under Restricted Unit Plan</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3</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3</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Compensation costs recognized under Restricted Unit Plan</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2,81</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2,81</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Balance, end of perio</w:t>
            </w:r>
            <w:r>
              <w:rPr>
                <w:sz w:val="20"/>
                <w:szCs w:val="20"/>
              </w:rPr>
              <w:t>d</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62,97</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581,92</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16,06</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565,85</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bl>
    <w:p w:rsidR="00000000" w:rsidRDefault="00A749A6">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32"/>
        <w:gridCol w:w="110"/>
        <w:gridCol w:w="110"/>
        <w:gridCol w:w="790"/>
        <w:gridCol w:w="110"/>
        <w:gridCol w:w="110"/>
        <w:gridCol w:w="160"/>
        <w:gridCol w:w="780"/>
        <w:gridCol w:w="127"/>
        <w:gridCol w:w="110"/>
        <w:gridCol w:w="162"/>
        <w:gridCol w:w="1007"/>
        <w:gridCol w:w="127"/>
        <w:gridCol w:w="110"/>
        <w:gridCol w:w="160"/>
        <w:gridCol w:w="759"/>
        <w:gridCol w:w="142"/>
      </w:tblGrid>
      <w:tr w:rsidR="00000000">
        <w:trPr>
          <w:tblCellSpacing w:w="15" w:type="dxa"/>
        </w:trPr>
        <w:tc>
          <w:tcPr>
            <w:tcW w:w="2206" w:type="pct"/>
            <w:vAlign w:val="center"/>
            <w:hideMark/>
          </w:tcPr>
          <w:p w:rsidR="00000000" w:rsidRDefault="00A749A6">
            <w:pPr>
              <w:rPr>
                <w:sz w:val="20"/>
                <w:szCs w:val="20"/>
              </w:rPr>
            </w:pPr>
          </w:p>
        </w:tc>
        <w:tc>
          <w:tcPr>
            <w:tcW w:w="66"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3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6"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24"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6"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4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6"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22"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A749A6">
            <w:pPr>
              <w:pStyle w:val="a3"/>
              <w:spacing w:before="0" w:beforeAutospacing="0" w:after="0" w:afterAutospacing="0"/>
              <w:jc w:val="center"/>
              <w:rPr>
                <w:sz w:val="16"/>
                <w:szCs w:val="16"/>
              </w:rPr>
            </w:pPr>
            <w:r>
              <w:rPr>
                <w:b/>
                <w:bCs/>
                <w:sz w:val="16"/>
                <w:szCs w:val="16"/>
              </w:rPr>
              <w:t>Three Months Ended June 26, 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Accumulate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Othe</w:t>
            </w:r>
            <w:r>
              <w:rPr>
                <w:b/>
                <w:bCs/>
                <w:sz w:val="16"/>
                <w:szCs w:val="16"/>
              </w:rPr>
              <w:t>r</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Number o</w:t>
            </w:r>
            <w:r>
              <w:rPr>
                <w:b/>
                <w:bCs/>
                <w:sz w:val="16"/>
                <w:szCs w:val="16"/>
              </w:rPr>
              <w:t>f</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Commo</w:t>
            </w:r>
            <w:r>
              <w:rPr>
                <w:b/>
                <w:bCs/>
                <w:sz w:val="16"/>
                <w:szCs w:val="16"/>
              </w:rPr>
              <w:t>n</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Comprehensiv</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Partners</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Common Unit</w:t>
            </w:r>
            <w:r>
              <w:rPr>
                <w:b/>
                <w:bCs/>
                <w:sz w:val="16"/>
                <w:szCs w:val="16"/>
              </w:rPr>
              <w:t>s</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Unitholder</w:t>
            </w:r>
            <w:r>
              <w:rPr>
                <w:b/>
                <w:bCs/>
                <w:sz w:val="16"/>
                <w:szCs w:val="16"/>
              </w:rPr>
              <w:t>s</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(Loss</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Capita</w:t>
            </w:r>
            <w:r>
              <w:rPr>
                <w:b/>
                <w:bCs/>
                <w:sz w:val="16"/>
                <w:szCs w:val="16"/>
              </w:rPr>
              <w:t>l</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Balance, beginning of perio</w:t>
            </w:r>
            <w:r>
              <w:rPr>
                <w:sz w:val="20"/>
                <w:szCs w:val="20"/>
              </w:rPr>
              <w:t>d</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62,52</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519,36</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24,02</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495,34</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Net (loss</w:t>
            </w: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26,02</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26,02</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Other comprehensive incom</w:t>
            </w:r>
            <w:r>
              <w:rPr>
                <w:sz w:val="20"/>
                <w:szCs w:val="20"/>
              </w:rPr>
              <w:t>e</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73</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73</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Partnership distribution</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18,75</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18,75</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Common Units issued under Restricted Unit Plan</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Compensation costs recognized under Restricted Unit Plan</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2,57</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2,57</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Balance, end of perio</w:t>
            </w:r>
            <w:r>
              <w:rPr>
                <w:sz w:val="20"/>
                <w:szCs w:val="20"/>
              </w:rPr>
              <w:t>d</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62,52</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477,16</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23,28</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453,87</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bl>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The accompanying notes are an integral part of these condensed consolidated financial statements</w:t>
      </w:r>
      <w:r>
        <w:rPr>
          <w:sz w:val="20"/>
          <w:szCs w:val="20"/>
        </w:rPr>
        <w:t>.</w:t>
      </w:r>
    </w:p>
    <w:p w:rsidR="00000000" w:rsidRDefault="00A749A6">
      <w:pPr>
        <w:pStyle w:val="a3"/>
        <w:spacing w:before="0" w:beforeAutospacing="0" w:after="0" w:afterAutospacing="0"/>
        <w:jc w:val="center"/>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6</w:t>
      </w:r>
    </w:p>
    <w:p w:rsidR="00000000" w:rsidRDefault="00A749A6">
      <w:pPr>
        <w:rPr>
          <w:rFonts w:eastAsia="Times New Roman"/>
        </w:rPr>
      </w:pPr>
      <w:r>
        <w:rPr>
          <w:rFonts w:eastAsia="Times New Roman"/>
        </w:rPr>
        <w:pict>
          <v:rect id="_x0000_i1034" style="width:0;height:1.5pt" o:hralign="center" o:hrstd="t" o:hr="t" fillcolor="#a0a0a0" stroked="f"/>
        </w:pict>
      </w:r>
    </w:p>
    <w:p w:rsidR="00000000" w:rsidRDefault="00A749A6">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0" w:beforeAutospacing="0" w:after="0" w:afterAutospacing="0"/>
        <w:jc w:val="center"/>
        <w:rPr>
          <w:sz w:val="20"/>
          <w:szCs w:val="20"/>
        </w:rPr>
      </w:pPr>
      <w:r>
        <w:rPr>
          <w:b/>
          <w:bCs/>
          <w:sz w:val="20"/>
          <w:szCs w:val="20"/>
        </w:rPr>
        <w:t>SUBURBAN PROPANE PARTNERS, L.P. AND SU</w:t>
      </w:r>
      <w:r>
        <w:rPr>
          <w:b/>
          <w:bCs/>
          <w:sz w:val="20"/>
          <w:szCs w:val="20"/>
        </w:rPr>
        <w:t>BSIDIARIE</w:t>
      </w:r>
      <w:r>
        <w:rPr>
          <w:b/>
          <w:bCs/>
          <w:sz w:val="20"/>
          <w:szCs w:val="20"/>
        </w:rPr>
        <w:t>S</w:t>
      </w:r>
    </w:p>
    <w:p w:rsidR="00000000" w:rsidRDefault="00A749A6">
      <w:pPr>
        <w:pStyle w:val="a3"/>
        <w:spacing w:before="240" w:beforeAutospacing="0" w:after="0" w:afterAutospacing="0"/>
        <w:jc w:val="center"/>
        <w:rPr>
          <w:sz w:val="20"/>
          <w:szCs w:val="20"/>
        </w:rPr>
      </w:pPr>
      <w:r>
        <w:rPr>
          <w:b/>
          <w:bCs/>
          <w:sz w:val="20"/>
          <w:szCs w:val="20"/>
        </w:rPr>
        <w:t>CONDENSED CONSOLIDATED</w:t>
      </w:r>
      <w:r>
        <w:rPr>
          <w:b/>
          <w:bCs/>
          <w:sz w:val="20"/>
          <w:szCs w:val="20"/>
        </w:rPr>
        <w:t xml:space="preserve"> </w:t>
      </w:r>
      <w:r>
        <w:rPr>
          <w:b/>
          <w:bCs/>
          <w:sz w:val="20"/>
          <w:szCs w:val="20"/>
        </w:rPr>
        <w:t>STATEMENTS OF PARTNERS’ CAPITA</w:t>
      </w:r>
      <w:r>
        <w:rPr>
          <w:b/>
          <w:bCs/>
          <w:sz w:val="20"/>
          <w:szCs w:val="20"/>
        </w:rPr>
        <w:t>L</w:t>
      </w:r>
    </w:p>
    <w:p w:rsidR="00000000" w:rsidRDefault="00A749A6">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A749A6">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A749A6">
      <w:pPr>
        <w:pStyle w:val="a3"/>
        <w:spacing w:before="4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7"/>
        <w:gridCol w:w="110"/>
        <w:gridCol w:w="110"/>
        <w:gridCol w:w="793"/>
        <w:gridCol w:w="110"/>
        <w:gridCol w:w="110"/>
        <w:gridCol w:w="160"/>
        <w:gridCol w:w="775"/>
        <w:gridCol w:w="127"/>
        <w:gridCol w:w="110"/>
        <w:gridCol w:w="162"/>
        <w:gridCol w:w="1007"/>
        <w:gridCol w:w="127"/>
        <w:gridCol w:w="110"/>
        <w:gridCol w:w="160"/>
        <w:gridCol w:w="746"/>
        <w:gridCol w:w="142"/>
      </w:tblGrid>
      <w:tr w:rsidR="00000000">
        <w:trPr>
          <w:tblCellSpacing w:w="15" w:type="dxa"/>
        </w:trPr>
        <w:tc>
          <w:tcPr>
            <w:tcW w:w="2216" w:type="pct"/>
            <w:vAlign w:val="center"/>
            <w:hideMark/>
          </w:tcPr>
          <w:p w:rsidR="00000000" w:rsidRDefault="00A749A6">
            <w:pPr>
              <w:rPr>
                <w:sz w:val="20"/>
                <w:szCs w:val="20"/>
              </w:rPr>
            </w:pPr>
          </w:p>
        </w:tc>
        <w:tc>
          <w:tcPr>
            <w:tcW w:w="62"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36"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2"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25"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2"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49"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2"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22"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A749A6">
            <w:pPr>
              <w:pStyle w:val="a3"/>
              <w:spacing w:before="0" w:beforeAutospacing="0" w:after="0" w:afterAutospacing="0"/>
              <w:jc w:val="center"/>
              <w:rPr>
                <w:sz w:val="16"/>
                <w:szCs w:val="16"/>
              </w:rPr>
            </w:pPr>
            <w:r>
              <w:rPr>
                <w:b/>
                <w:bCs/>
                <w:sz w:val="16"/>
                <w:szCs w:val="16"/>
              </w:rPr>
              <w:t>Nine Months Ended June 25, 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Accumulate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Othe</w:t>
            </w:r>
            <w:r>
              <w:rPr>
                <w:b/>
                <w:bCs/>
                <w:sz w:val="16"/>
                <w:szCs w:val="16"/>
              </w:rPr>
              <w:t>r</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Number o</w:t>
            </w:r>
            <w:r>
              <w:rPr>
                <w:b/>
                <w:bCs/>
                <w:sz w:val="16"/>
                <w:szCs w:val="16"/>
              </w:rPr>
              <w:t>f</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Commo</w:t>
            </w:r>
            <w:r>
              <w:rPr>
                <w:b/>
                <w:bCs/>
                <w:sz w:val="16"/>
                <w:szCs w:val="16"/>
              </w:rPr>
              <w:t>n</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Comprehensiv</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Partners</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Common Unit</w:t>
            </w:r>
            <w:r>
              <w:rPr>
                <w:b/>
                <w:bCs/>
                <w:sz w:val="16"/>
                <w:szCs w:val="16"/>
              </w:rPr>
              <w:t>s</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Unitholder</w:t>
            </w:r>
            <w:r>
              <w:rPr>
                <w:b/>
                <w:bCs/>
                <w:sz w:val="16"/>
                <w:szCs w:val="16"/>
              </w:rPr>
              <w:t>s</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(Loss</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Capita</w:t>
            </w:r>
            <w:r>
              <w:rPr>
                <w:b/>
                <w:bCs/>
                <w:sz w:val="16"/>
                <w:szCs w:val="16"/>
              </w:rPr>
              <w:t>l</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Balance, beginning of perio</w:t>
            </w:r>
            <w:r>
              <w:rPr>
                <w:sz w:val="20"/>
                <w:szCs w:val="20"/>
              </w:rPr>
              <w:t>d</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62,53</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443,00</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17,58</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425,42</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Net incom</w:t>
            </w:r>
            <w:r>
              <w:rPr>
                <w:sz w:val="20"/>
                <w:szCs w:val="20"/>
              </w:rPr>
              <w:t>e</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193,86</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193,86</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Other comprehensive incom</w:t>
            </w:r>
            <w:r>
              <w:rPr>
                <w:sz w:val="20"/>
                <w:szCs w:val="20"/>
              </w:rPr>
              <w:t>e</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1,51</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1,51</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Partnership distribution</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61,25</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61,25</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Common Units issued under Restricted Unit Plan</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43</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2,11</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2,11</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Compensation costs recognized under Restricted Unit Plan</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8,42</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8,42</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Balance, end of perio</w:t>
            </w:r>
            <w:r>
              <w:rPr>
                <w:sz w:val="20"/>
                <w:szCs w:val="20"/>
              </w:rPr>
              <w:t>d</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62,97</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581,92</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16,06</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565,85</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bl>
    <w:p w:rsidR="00000000" w:rsidRDefault="00A749A6">
      <w:pPr>
        <w:pStyle w:val="a3"/>
        <w:spacing w:before="4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32"/>
        <w:gridCol w:w="110"/>
        <w:gridCol w:w="110"/>
        <w:gridCol w:w="790"/>
        <w:gridCol w:w="110"/>
        <w:gridCol w:w="110"/>
        <w:gridCol w:w="160"/>
        <w:gridCol w:w="780"/>
        <w:gridCol w:w="127"/>
        <w:gridCol w:w="110"/>
        <w:gridCol w:w="162"/>
        <w:gridCol w:w="1007"/>
        <w:gridCol w:w="127"/>
        <w:gridCol w:w="110"/>
        <w:gridCol w:w="160"/>
        <w:gridCol w:w="759"/>
        <w:gridCol w:w="142"/>
      </w:tblGrid>
      <w:tr w:rsidR="00000000">
        <w:trPr>
          <w:tblCellSpacing w:w="15" w:type="dxa"/>
        </w:trPr>
        <w:tc>
          <w:tcPr>
            <w:tcW w:w="2206" w:type="pct"/>
            <w:vAlign w:val="center"/>
            <w:hideMark/>
          </w:tcPr>
          <w:p w:rsidR="00000000" w:rsidRDefault="00A749A6">
            <w:pPr>
              <w:rPr>
                <w:sz w:val="20"/>
                <w:szCs w:val="20"/>
              </w:rPr>
            </w:pPr>
          </w:p>
        </w:tc>
        <w:tc>
          <w:tcPr>
            <w:tcW w:w="66"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3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6"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24"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6"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4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6"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22"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A749A6">
            <w:pPr>
              <w:pStyle w:val="a3"/>
              <w:spacing w:before="0" w:beforeAutospacing="0" w:after="0" w:afterAutospacing="0"/>
              <w:jc w:val="center"/>
              <w:rPr>
                <w:sz w:val="16"/>
                <w:szCs w:val="16"/>
              </w:rPr>
            </w:pPr>
            <w:r>
              <w:rPr>
                <w:b/>
                <w:bCs/>
                <w:sz w:val="16"/>
                <w:szCs w:val="16"/>
              </w:rPr>
              <w:t>Nine Months Ended June 26, 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Accumulate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Othe</w:t>
            </w:r>
            <w:r>
              <w:rPr>
                <w:b/>
                <w:bCs/>
                <w:sz w:val="16"/>
                <w:szCs w:val="16"/>
              </w:rPr>
              <w:t>r</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Number o</w:t>
            </w:r>
            <w:r>
              <w:rPr>
                <w:b/>
                <w:bCs/>
                <w:sz w:val="16"/>
                <w:szCs w:val="16"/>
              </w:rPr>
              <w:t>f</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Commo</w:t>
            </w:r>
            <w:r>
              <w:rPr>
                <w:b/>
                <w:bCs/>
                <w:sz w:val="16"/>
                <w:szCs w:val="16"/>
              </w:rPr>
              <w:t>n</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Comprehensiv</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Partners</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Common Unit</w:t>
            </w:r>
            <w:r>
              <w:rPr>
                <w:b/>
                <w:bCs/>
                <w:sz w:val="16"/>
                <w:szCs w:val="16"/>
              </w:rPr>
              <w:t>s</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Unitholder</w:t>
            </w:r>
            <w:r>
              <w:rPr>
                <w:b/>
                <w:bCs/>
                <w:sz w:val="16"/>
                <w:szCs w:val="16"/>
              </w:rPr>
              <w:t>s</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(Loss</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Capita</w:t>
            </w:r>
            <w:r>
              <w:rPr>
                <w:b/>
                <w:bCs/>
                <w:sz w:val="16"/>
                <w:szCs w:val="16"/>
              </w:rPr>
              <w:t>l</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Balance, beginning of perio</w:t>
            </w:r>
            <w:r>
              <w:rPr>
                <w:sz w:val="20"/>
                <w:szCs w:val="20"/>
              </w:rPr>
              <w:t>d</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62,14</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388,15</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25,77</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362,38</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Net incom</w:t>
            </w:r>
            <w:r>
              <w:rPr>
                <w:sz w:val="20"/>
                <w:szCs w:val="20"/>
              </w:rPr>
              <w:t>e</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139,17</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139,17</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Other comprehensive incom</w:t>
            </w:r>
            <w:r>
              <w:rPr>
                <w:sz w:val="20"/>
                <w:szCs w:val="20"/>
              </w:rPr>
              <w:t>e</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2,49</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2,49</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Partnership distribution</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56,15</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56,15</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Common Units issued under Restricted Unit Plan</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38</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1,53</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1,53</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Compensation costs recognized under Restricted Unit Plan</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7,52</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7,52</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Balance, end of perio</w:t>
            </w:r>
            <w:r>
              <w:rPr>
                <w:sz w:val="20"/>
                <w:szCs w:val="20"/>
              </w:rPr>
              <w:t>d</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62,52</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477,16</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23,28</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453,87</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bl>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The accompanying notes are an integral part of these condensed consolidated financial statements</w:t>
      </w:r>
      <w:r>
        <w:rPr>
          <w:sz w:val="20"/>
          <w:szCs w:val="20"/>
        </w:rPr>
        <w:t>.</w:t>
      </w:r>
    </w:p>
    <w:p w:rsidR="00000000" w:rsidRDefault="00A749A6">
      <w:pPr>
        <w:pStyle w:val="a3"/>
        <w:spacing w:before="0" w:beforeAutospacing="0" w:after="0" w:afterAutospacing="0"/>
        <w:jc w:val="center"/>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7</w:t>
      </w:r>
    </w:p>
    <w:p w:rsidR="00000000" w:rsidRDefault="00A749A6">
      <w:pPr>
        <w:rPr>
          <w:rFonts w:eastAsia="Times New Roman"/>
        </w:rPr>
      </w:pPr>
      <w:r>
        <w:rPr>
          <w:rFonts w:eastAsia="Times New Roman"/>
        </w:rPr>
        <w:pict>
          <v:rect id="_x0000_i1035" style="width:0;height:1.5pt" o:hralign="center" o:hrstd="t" o:hr="t" fillcolor="#a0a0a0" stroked="f"/>
        </w:pict>
      </w:r>
    </w:p>
    <w:p w:rsidR="00000000" w:rsidRDefault="00A749A6">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0" w:beforeAutospacing="0" w:after="0" w:afterAutospacing="0"/>
        <w:jc w:val="center"/>
        <w:rPr>
          <w:sz w:val="20"/>
          <w:szCs w:val="20"/>
        </w:rPr>
      </w:pPr>
      <w:r>
        <w:rPr>
          <w:b/>
          <w:bCs/>
          <w:sz w:val="20"/>
          <w:szCs w:val="20"/>
        </w:rPr>
        <w:t>SUBURBAN PROPANE PARTNERS, L.P. AND SUBSIDIARIE</w:t>
      </w:r>
      <w:r>
        <w:rPr>
          <w:b/>
          <w:bCs/>
          <w:sz w:val="20"/>
          <w:szCs w:val="20"/>
        </w:rPr>
        <w:t>S</w:t>
      </w:r>
    </w:p>
    <w:p w:rsidR="00000000" w:rsidRDefault="00A749A6">
      <w:pPr>
        <w:pStyle w:val="a3"/>
        <w:spacing w:before="240" w:beforeAutospacing="0" w:after="0" w:afterAutospacing="0"/>
        <w:jc w:val="center"/>
        <w:rPr>
          <w:sz w:val="20"/>
          <w:szCs w:val="20"/>
        </w:rPr>
      </w:pPr>
      <w:r>
        <w:rPr>
          <w:b/>
          <w:bCs/>
          <w:sz w:val="20"/>
          <w:szCs w:val="20"/>
        </w:rPr>
        <w:t>NOTES TO CONDENSED CONSOL</w:t>
      </w:r>
      <w:r>
        <w:rPr>
          <w:b/>
          <w:bCs/>
          <w:sz w:val="20"/>
          <w:szCs w:val="20"/>
        </w:rPr>
        <w:t>I</w:t>
      </w:r>
      <w:r>
        <w:rPr>
          <w:b/>
          <w:bCs/>
          <w:sz w:val="20"/>
          <w:szCs w:val="20"/>
        </w:rPr>
        <w:t>DATED FINANCIAL STATEMENT</w:t>
      </w:r>
      <w:r>
        <w:rPr>
          <w:b/>
          <w:bCs/>
          <w:sz w:val="20"/>
          <w:szCs w:val="20"/>
        </w:rPr>
        <w:t>S</w:t>
      </w:r>
    </w:p>
    <w:p w:rsidR="00000000" w:rsidRDefault="00A749A6">
      <w:pPr>
        <w:pStyle w:val="a3"/>
        <w:spacing w:before="0" w:beforeAutospacing="0" w:after="0" w:afterAutospacing="0"/>
        <w:jc w:val="center"/>
        <w:rPr>
          <w:sz w:val="20"/>
          <w:szCs w:val="20"/>
        </w:rPr>
      </w:pPr>
      <w:r>
        <w:rPr>
          <w:b/>
          <w:bCs/>
          <w:sz w:val="20"/>
          <w:szCs w:val="20"/>
        </w:rPr>
        <w:t>(dollars in thousands, except unit and per unit amounts</w:t>
      </w:r>
      <w:r>
        <w:rPr>
          <w:b/>
          <w:bCs/>
          <w:sz w:val="20"/>
          <w:szCs w:val="20"/>
        </w:rPr>
        <w:t>)</w:t>
      </w:r>
    </w:p>
    <w:p w:rsidR="00000000" w:rsidRDefault="00A749A6">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A749A6">
      <w:pPr>
        <w:jc w:val="both"/>
        <w:divId w:val="1984310971"/>
        <w:rPr>
          <w:rFonts w:eastAsia="Times New Roman"/>
          <w:sz w:val="20"/>
          <w:szCs w:val="20"/>
        </w:rPr>
      </w:pPr>
      <w:r>
        <w:rPr>
          <w:rFonts w:eastAsia="Times New Roman"/>
          <w:b/>
          <w:bCs/>
          <w:sz w:val="20"/>
          <w:szCs w:val="20"/>
        </w:rPr>
        <w:t>1</w:t>
      </w:r>
      <w:r>
        <w:rPr>
          <w:rFonts w:eastAsia="Times New Roman"/>
          <w:b/>
          <w:bCs/>
          <w:sz w:val="20"/>
          <w:szCs w:val="20"/>
        </w:rPr>
        <w:t>.</w:t>
      </w:r>
    </w:p>
    <w:p w:rsidR="00000000" w:rsidRDefault="00A749A6">
      <w:pPr>
        <w:jc w:val="both"/>
        <w:divId w:val="871847054"/>
        <w:rPr>
          <w:rFonts w:eastAsia="Times New Roman"/>
          <w:sz w:val="20"/>
          <w:szCs w:val="20"/>
        </w:rPr>
      </w:pPr>
      <w:r>
        <w:rPr>
          <w:rFonts w:eastAsia="Times New Roman"/>
          <w:b/>
          <w:bCs/>
          <w:sz w:val="20"/>
          <w:szCs w:val="20"/>
        </w:rPr>
        <w:t>Partnership Organization and Formatio</w:t>
      </w:r>
      <w:r>
        <w:rPr>
          <w:rFonts w:eastAsia="Times New Roman"/>
          <w:b/>
          <w:bCs/>
          <w:sz w:val="20"/>
          <w:szCs w:val="20"/>
        </w:rPr>
        <w:t>n</w:t>
      </w:r>
    </w:p>
    <w:p w:rsidR="00000000" w:rsidRDefault="00A749A6">
      <w:pPr>
        <w:pStyle w:val="a3"/>
        <w:spacing w:before="120" w:beforeAutospacing="0" w:after="0" w:afterAutospacing="0"/>
        <w:jc w:val="both"/>
        <w:divId w:val="1248808492"/>
        <w:rPr>
          <w:sz w:val="20"/>
          <w:szCs w:val="20"/>
        </w:rPr>
      </w:pPr>
      <w:r>
        <w:rPr>
          <w:sz w:val="20"/>
          <w:szCs w:val="20"/>
        </w:rPr>
        <w:t xml:space="preserve">Suburban Propane Partners, L.P. (the “Partnership”) is a publicly traded Delaware limited partnership principally engaged, through its operating </w:t>
      </w:r>
      <w:r>
        <w:rPr>
          <w:sz w:val="20"/>
          <w:szCs w:val="20"/>
        </w:rPr>
        <w:t>partnership and subsidiaries, in the retail marketing and distribution of propane, renewable propane, fuel oil and refined fuels, as well as the marketing of natural gas and electricity in deregulated markets and investor in low carbon fuel alternatives. I</w:t>
      </w:r>
      <w:r>
        <w:rPr>
          <w:sz w:val="20"/>
          <w:szCs w:val="20"/>
        </w:rPr>
        <w:t>n addition, to complement its core marketing and distribution businesses, the Partnership services a wide variety of home comfort equipment, particularly for heating and ventilation. The publicly traded limited partner interests in the Partnership are evid</w:t>
      </w:r>
      <w:r>
        <w:rPr>
          <w:sz w:val="20"/>
          <w:szCs w:val="20"/>
        </w:rPr>
        <w:t>enced by common units traded on the New York Stock Exchange (“Common Units”), with</w:t>
      </w:r>
      <w:r>
        <w:rPr>
          <w:sz w:val="20"/>
          <w:szCs w:val="20"/>
        </w:rPr>
        <w:t xml:space="preserve"> </w:t>
      </w:r>
      <w:r>
        <w:rPr>
          <w:sz w:val="20"/>
          <w:szCs w:val="20"/>
        </w:rPr>
        <w:t>62,975,37</w:t>
      </w:r>
      <w:r>
        <w:rPr>
          <w:sz w:val="20"/>
          <w:szCs w:val="20"/>
        </w:rPr>
        <w:t>8</w:t>
      </w:r>
      <w:r>
        <w:rPr>
          <w:sz w:val="20"/>
          <w:szCs w:val="20"/>
        </w:rPr>
        <w:t xml:space="preserve"> Common Units outstanding at June 25, 2022. The holders of Common Units are entitled to participate in distributions and exercise the rights and privileges availab</w:t>
      </w:r>
      <w:r>
        <w:rPr>
          <w:sz w:val="20"/>
          <w:szCs w:val="20"/>
        </w:rPr>
        <w:t>le to limited partners under the Third Amended and Restated Agreement of Limited Partnership (the “Partnership Agreement”), as amended. Rights and privileges under the Partnership Agreement include, among other things, the election of all members of the Bo</w:t>
      </w:r>
      <w:r>
        <w:rPr>
          <w:sz w:val="20"/>
          <w:szCs w:val="20"/>
        </w:rPr>
        <w:t>ard of Supervisors and voting on the removal of the general partner</w:t>
      </w:r>
      <w:r>
        <w:rPr>
          <w:sz w:val="20"/>
          <w:szCs w:val="20"/>
        </w:rPr>
        <w:t>.</w:t>
      </w:r>
    </w:p>
    <w:p w:rsidR="00000000" w:rsidRDefault="00A749A6">
      <w:pPr>
        <w:pStyle w:val="a3"/>
        <w:spacing w:before="240" w:beforeAutospacing="0" w:after="0" w:afterAutospacing="0"/>
        <w:jc w:val="both"/>
        <w:divId w:val="1248808492"/>
        <w:rPr>
          <w:sz w:val="20"/>
          <w:szCs w:val="20"/>
        </w:rPr>
      </w:pPr>
      <w:r>
        <w:rPr>
          <w:sz w:val="20"/>
          <w:szCs w:val="20"/>
        </w:rPr>
        <w:t>Suburban Propane, L.P. (the “Operating Partnership”), a Delaware limited partnership, is the Partnership’s operating subsidiary formed to operate the propane business and assets. In addit</w:t>
      </w:r>
      <w:r>
        <w:rPr>
          <w:sz w:val="20"/>
          <w:szCs w:val="20"/>
        </w:rPr>
        <w:t>ion, Suburban Sales &amp; Service, Inc. (the “Service Company”), a subsidiary of the Operating Partnership, was formed to operate the service work and appliance and parts businesses of the Partnership. The Operating Partnership, together with its direct and in</w:t>
      </w:r>
      <w:r>
        <w:rPr>
          <w:sz w:val="20"/>
          <w:szCs w:val="20"/>
        </w:rPr>
        <w:t>direct subsidiaries, accounts for substantially all of the Partnership’s assets, revenues and earnings. The Partnership, the Operating Partnership and the Service Company commenced operations in March 1996 in connection with the Partnership’s initial publi</w:t>
      </w:r>
      <w:r>
        <w:rPr>
          <w:sz w:val="20"/>
          <w:szCs w:val="20"/>
        </w:rPr>
        <w:t>c offering</w:t>
      </w:r>
      <w:r>
        <w:rPr>
          <w:sz w:val="20"/>
          <w:szCs w:val="20"/>
        </w:rPr>
        <w:t>.</w:t>
      </w:r>
    </w:p>
    <w:p w:rsidR="00000000" w:rsidRDefault="00A749A6">
      <w:pPr>
        <w:pStyle w:val="a3"/>
        <w:spacing w:before="240" w:beforeAutospacing="0" w:after="0" w:afterAutospacing="0"/>
        <w:jc w:val="both"/>
        <w:divId w:val="1248808492"/>
        <w:rPr>
          <w:sz w:val="20"/>
          <w:szCs w:val="20"/>
        </w:rPr>
      </w:pPr>
      <w:r>
        <w:rPr>
          <w:sz w:val="20"/>
          <w:szCs w:val="20"/>
        </w:rPr>
        <w:t>Suburban Renewable Energy, LLC (“Suburban Renewables”) is a wholly owned subsidiary of the Operating Partnership that was formed in January 2022. Suburban Renewables serves as the platform for the Partnership’s investments in innovative, renewa</w:t>
      </w:r>
      <w:r>
        <w:rPr>
          <w:sz w:val="20"/>
          <w:szCs w:val="20"/>
        </w:rPr>
        <w:t>ble energy technologies and businesses</w:t>
      </w:r>
      <w:r>
        <w:rPr>
          <w:sz w:val="20"/>
          <w:szCs w:val="20"/>
        </w:rPr>
        <w:t>.</w:t>
      </w:r>
    </w:p>
    <w:p w:rsidR="00000000" w:rsidRDefault="00A749A6">
      <w:pPr>
        <w:pStyle w:val="a3"/>
        <w:spacing w:before="240" w:beforeAutospacing="0" w:after="0" w:afterAutospacing="0"/>
        <w:jc w:val="both"/>
        <w:divId w:val="1248808492"/>
        <w:rPr>
          <w:sz w:val="20"/>
          <w:szCs w:val="20"/>
        </w:rPr>
      </w:pPr>
      <w:r>
        <w:rPr>
          <w:sz w:val="20"/>
          <w:szCs w:val="20"/>
        </w:rPr>
        <w:t>The general partner of both the Partnership and the Operating Partnership is Suburban Energy Services Group LLC (the “General Partner”), a Delaware limited liability company, the sole member of which is the Partnersh</w:t>
      </w:r>
      <w:r>
        <w:rPr>
          <w:sz w:val="20"/>
          <w:szCs w:val="20"/>
        </w:rPr>
        <w:t>ip’s Chief Executive Officer. Other than as a holder of</w:t>
      </w:r>
      <w:r>
        <w:rPr>
          <w:sz w:val="20"/>
          <w:szCs w:val="20"/>
        </w:rPr>
        <w:t xml:space="preserve"> </w:t>
      </w:r>
      <w:r>
        <w:rPr>
          <w:sz w:val="20"/>
          <w:szCs w:val="20"/>
        </w:rPr>
        <w:t>78</w:t>
      </w:r>
      <w:r>
        <w:rPr>
          <w:sz w:val="20"/>
          <w:szCs w:val="20"/>
        </w:rPr>
        <w:t>4</w:t>
      </w:r>
      <w:r>
        <w:rPr>
          <w:sz w:val="20"/>
          <w:szCs w:val="20"/>
        </w:rPr>
        <w:t xml:space="preserve"> Common Units that will remain in the General Partner, the General Partner does not have any economic interest in the Partnership or the Operating Partnership</w:t>
      </w:r>
      <w:r>
        <w:rPr>
          <w:sz w:val="20"/>
          <w:szCs w:val="20"/>
        </w:rPr>
        <w:t>.</w:t>
      </w:r>
    </w:p>
    <w:p w:rsidR="00000000" w:rsidRDefault="00A749A6">
      <w:pPr>
        <w:pStyle w:val="a3"/>
        <w:spacing w:before="240" w:beforeAutospacing="0" w:after="0" w:afterAutospacing="0"/>
        <w:jc w:val="both"/>
        <w:divId w:val="1248808492"/>
        <w:rPr>
          <w:sz w:val="20"/>
          <w:szCs w:val="20"/>
        </w:rPr>
      </w:pPr>
      <w:r>
        <w:rPr>
          <w:sz w:val="20"/>
          <w:szCs w:val="20"/>
        </w:rPr>
        <w:t>The Partnership’s fuel oil and refine</w:t>
      </w:r>
      <w:r>
        <w:rPr>
          <w:sz w:val="20"/>
          <w:szCs w:val="20"/>
        </w:rPr>
        <w:t>d fuels, natural gas and electricity, services, and renewable energy businesses are structured as either limited liability companies that are treated as corporations or corporate entities (collectively referred to as the “Corporate Entities”) and, as such,</w:t>
      </w:r>
      <w:r>
        <w:rPr>
          <w:sz w:val="20"/>
          <w:szCs w:val="20"/>
        </w:rPr>
        <w:t xml:space="preserve"> are subject to corporate level U.S. income tax</w:t>
      </w:r>
      <w:r>
        <w:rPr>
          <w:sz w:val="20"/>
          <w:szCs w:val="20"/>
        </w:rPr>
        <w:t>.</w:t>
      </w:r>
    </w:p>
    <w:p w:rsidR="00000000" w:rsidRDefault="00A749A6">
      <w:pPr>
        <w:pStyle w:val="a3"/>
        <w:spacing w:before="240" w:beforeAutospacing="0" w:after="0" w:afterAutospacing="0"/>
        <w:jc w:val="both"/>
        <w:divId w:val="1248808492"/>
        <w:rPr>
          <w:sz w:val="20"/>
          <w:szCs w:val="20"/>
        </w:rPr>
      </w:pPr>
      <w:r>
        <w:rPr>
          <w:sz w:val="20"/>
          <w:szCs w:val="20"/>
        </w:rPr>
        <w:t>Suburban Energy Finance Corp., a direct</w:t>
      </w:r>
      <w:r>
        <w:rPr>
          <w:sz w:val="20"/>
          <w:szCs w:val="20"/>
        </w:rPr>
        <w:t xml:space="preserve"> </w:t>
      </w:r>
      <w:r>
        <w:rPr>
          <w:sz w:val="20"/>
          <w:szCs w:val="20"/>
        </w:rPr>
        <w:t>10</w:t>
      </w:r>
      <w:r>
        <w:rPr>
          <w:sz w:val="20"/>
          <w:szCs w:val="20"/>
        </w:rPr>
        <w:t>0</w:t>
      </w:r>
      <w:r>
        <w:rPr>
          <w:sz w:val="20"/>
          <w:szCs w:val="20"/>
        </w:rPr>
        <w:t>%-owned subsidiary of the Partnership, was formed on November 26, 2003 to serve as co-issuer, jointly and severally with the Partnership, of the Partnership’s senio</w:t>
      </w:r>
      <w:r>
        <w:rPr>
          <w:sz w:val="20"/>
          <w:szCs w:val="20"/>
        </w:rPr>
        <w:t>r notes</w:t>
      </w:r>
      <w:r>
        <w:rPr>
          <w:sz w:val="20"/>
          <w:szCs w:val="20"/>
        </w:rPr>
        <w:t>.</w:t>
      </w:r>
    </w:p>
    <w:p w:rsidR="00000000" w:rsidRDefault="00A749A6">
      <w:pPr>
        <w:pStyle w:val="a3"/>
        <w:spacing w:before="0" w:beforeAutospacing="0" w:after="0" w:afterAutospacing="0"/>
        <w:rPr>
          <w:sz w:val="20"/>
          <w:szCs w:val="20"/>
        </w:rPr>
      </w:pPr>
      <w:r>
        <w:rPr>
          <w:sz w:val="20"/>
          <w:szCs w:val="20"/>
        </w:rPr>
        <w:t> </w:t>
      </w:r>
    </w:p>
    <w:p w:rsidR="00000000" w:rsidRDefault="00A749A6">
      <w:pPr>
        <w:jc w:val="both"/>
        <w:divId w:val="1303199336"/>
        <w:rPr>
          <w:rFonts w:eastAsia="Times New Roman"/>
          <w:sz w:val="20"/>
          <w:szCs w:val="20"/>
        </w:rPr>
      </w:pPr>
      <w:r>
        <w:rPr>
          <w:rFonts w:eastAsia="Times New Roman"/>
          <w:b/>
          <w:bCs/>
          <w:sz w:val="20"/>
          <w:szCs w:val="20"/>
        </w:rPr>
        <w:t>2</w:t>
      </w:r>
      <w:r>
        <w:rPr>
          <w:rFonts w:eastAsia="Times New Roman"/>
          <w:b/>
          <w:bCs/>
          <w:sz w:val="20"/>
          <w:szCs w:val="20"/>
        </w:rPr>
        <w:t>.</w:t>
      </w:r>
    </w:p>
    <w:p w:rsidR="00000000" w:rsidRDefault="00A749A6">
      <w:pPr>
        <w:jc w:val="both"/>
        <w:divId w:val="2061132575"/>
        <w:rPr>
          <w:rFonts w:eastAsia="Times New Roman"/>
          <w:sz w:val="20"/>
          <w:szCs w:val="20"/>
        </w:rPr>
      </w:pPr>
      <w:r>
        <w:rPr>
          <w:rFonts w:eastAsia="Times New Roman"/>
          <w:b/>
          <w:bCs/>
          <w:sz w:val="20"/>
          <w:szCs w:val="20"/>
        </w:rPr>
        <w:t>Basis of Presentatio</w:t>
      </w:r>
      <w:r>
        <w:rPr>
          <w:rFonts w:eastAsia="Times New Roman"/>
          <w:b/>
          <w:bCs/>
          <w:sz w:val="20"/>
          <w:szCs w:val="20"/>
        </w:rPr>
        <w:t>n</w:t>
      </w:r>
    </w:p>
    <w:p w:rsidR="00000000" w:rsidRDefault="00A749A6">
      <w:pPr>
        <w:pStyle w:val="a3"/>
        <w:spacing w:before="120" w:beforeAutospacing="0" w:after="0" w:afterAutospacing="0"/>
        <w:jc w:val="both"/>
        <w:divId w:val="612590937"/>
        <w:rPr>
          <w:sz w:val="20"/>
          <w:szCs w:val="20"/>
        </w:rPr>
      </w:pPr>
      <w:r>
        <w:rPr>
          <w:b/>
          <w:bCs/>
          <w:sz w:val="20"/>
          <w:szCs w:val="20"/>
        </w:rPr>
        <w:t>Principles of Consolidation</w:t>
      </w:r>
      <w:r>
        <w:rPr>
          <w:b/>
          <w:bCs/>
          <w:sz w:val="20"/>
          <w:szCs w:val="20"/>
        </w:rPr>
        <w:t>.</w:t>
      </w:r>
      <w:r>
        <w:rPr>
          <w:sz w:val="20"/>
          <w:szCs w:val="20"/>
        </w:rPr>
        <w:t xml:space="preserve"> The condensed consolidated financial statements include the accounts of the Partnership, the Operating Partnership and all of its direct and indirect subsidiaries. All significant intercompan</w:t>
      </w:r>
      <w:r>
        <w:rPr>
          <w:sz w:val="20"/>
          <w:szCs w:val="20"/>
        </w:rPr>
        <w:t>y transactions and account balances have been eliminated. The Partnership consolidates the results of operations, financial condition and cash flows of the Operating Partnership as a result of the Partnership’s</w:t>
      </w:r>
      <w:r>
        <w:rPr>
          <w:sz w:val="20"/>
          <w:szCs w:val="20"/>
        </w:rPr>
        <w:t xml:space="preserve"> </w:t>
      </w:r>
      <w:r>
        <w:rPr>
          <w:sz w:val="20"/>
          <w:szCs w:val="20"/>
        </w:rPr>
        <w:t>10</w:t>
      </w:r>
      <w:r>
        <w:rPr>
          <w:sz w:val="20"/>
          <w:szCs w:val="20"/>
        </w:rPr>
        <w:t>0</w:t>
      </w:r>
      <w:r>
        <w:rPr>
          <w:sz w:val="20"/>
          <w:szCs w:val="20"/>
        </w:rPr>
        <w:t>% limited partner interest in the Operatin</w:t>
      </w:r>
      <w:r>
        <w:rPr>
          <w:sz w:val="20"/>
          <w:szCs w:val="20"/>
        </w:rPr>
        <w:t>g Partnership</w:t>
      </w:r>
      <w:r>
        <w:rPr>
          <w:sz w:val="20"/>
          <w:szCs w:val="20"/>
        </w:rPr>
        <w:t>.</w:t>
      </w:r>
    </w:p>
    <w:p w:rsidR="00000000" w:rsidRDefault="00A749A6">
      <w:pPr>
        <w:pStyle w:val="a3"/>
        <w:spacing w:before="240" w:beforeAutospacing="0" w:after="0" w:afterAutospacing="0"/>
        <w:jc w:val="both"/>
        <w:divId w:val="612590937"/>
        <w:rPr>
          <w:sz w:val="20"/>
          <w:szCs w:val="20"/>
        </w:rPr>
      </w:pPr>
      <w:r>
        <w:rPr>
          <w:sz w:val="20"/>
          <w:szCs w:val="20"/>
        </w:rPr>
        <w:t>The accompanying condensed consolidated financial statements are unaudited and have been prepared in accordance with the rules and regulations of the Securities and Exchange Commission (“SEC”). They include all adjustments that the Partnersh</w:t>
      </w:r>
      <w:r>
        <w:rPr>
          <w:sz w:val="20"/>
          <w:szCs w:val="20"/>
        </w:rPr>
        <w:t>ip considers necessary for a fair statement of the results of operations, financial position and cash flows for the interim periods presented. Such adjustments consist only of normal recurring items, unless otherwise disclosed. These financial statements s</w:t>
      </w:r>
      <w:r>
        <w:rPr>
          <w:sz w:val="20"/>
          <w:szCs w:val="20"/>
        </w:rPr>
        <w:t>hould be read in conjunction with the financial statements included in the Partnership’s Annual Report on Form 10-K for the fiscal year ended September 25, 202</w:t>
      </w:r>
      <w:r>
        <w:rPr>
          <w:sz w:val="20"/>
          <w:szCs w:val="20"/>
        </w:rPr>
        <w:t>1</w:t>
      </w:r>
      <w:r>
        <w:rPr>
          <w:sz w:val="20"/>
          <w:szCs w:val="20"/>
        </w:rPr>
        <w:t>. Due to the seasonal nature of the Partnership’s operations, the results of operations for inte</w:t>
      </w:r>
      <w:r>
        <w:rPr>
          <w:sz w:val="20"/>
          <w:szCs w:val="20"/>
        </w:rPr>
        <w:t>rim periods are not necessarily indicative of the results to be expected for a full year</w:t>
      </w:r>
      <w:r>
        <w:rPr>
          <w:sz w:val="20"/>
          <w:szCs w:val="20"/>
        </w:rPr>
        <w:t>.</w:t>
      </w:r>
    </w:p>
    <w:p w:rsidR="00000000" w:rsidRDefault="00A749A6">
      <w:pPr>
        <w:pStyle w:val="a3"/>
        <w:spacing w:before="0" w:beforeAutospacing="0" w:after="0" w:afterAutospacing="0"/>
        <w:jc w:val="both"/>
        <w:divId w:val="1587377900"/>
        <w:rPr>
          <w:sz w:val="20"/>
          <w:szCs w:val="20"/>
        </w:rPr>
      </w:pPr>
      <w:r>
        <w:rPr>
          <w:sz w:val="20"/>
          <w:szCs w:val="20"/>
        </w:rPr>
        <w:t> </w:t>
      </w:r>
    </w:p>
    <w:p w:rsidR="00000000" w:rsidRDefault="00A749A6">
      <w:pPr>
        <w:pStyle w:val="a3"/>
        <w:spacing w:before="0" w:beforeAutospacing="0" w:after="0" w:afterAutospacing="0"/>
        <w:jc w:val="center"/>
        <w:divId w:val="1587377900"/>
        <w:rPr>
          <w:sz w:val="20"/>
          <w:szCs w:val="20"/>
        </w:rPr>
      </w:pPr>
      <w:r>
        <w:rPr>
          <w:sz w:val="20"/>
          <w:szCs w:val="20"/>
        </w:rPr>
        <w:t> </w:t>
      </w:r>
    </w:p>
    <w:p w:rsidR="00000000" w:rsidRDefault="00A749A6">
      <w:pPr>
        <w:pStyle w:val="a3"/>
        <w:spacing w:before="0" w:beforeAutospacing="0" w:after="0" w:afterAutospacing="0"/>
        <w:jc w:val="center"/>
        <w:divId w:val="1587377900"/>
        <w:rPr>
          <w:sz w:val="20"/>
          <w:szCs w:val="20"/>
        </w:rPr>
      </w:pPr>
      <w:r>
        <w:rPr>
          <w:sz w:val="20"/>
          <w:szCs w:val="20"/>
        </w:rPr>
        <w:t>8</w:t>
      </w:r>
    </w:p>
    <w:p w:rsidR="00000000" w:rsidRDefault="00A749A6">
      <w:pPr>
        <w:divId w:val="1587377900"/>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A749A6">
      <w:pPr>
        <w:pStyle w:val="a3"/>
        <w:spacing w:before="0" w:beforeAutospacing="0" w:after="0" w:afterAutospacing="0"/>
        <w:divId w:val="158737790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40" w:beforeAutospacing="0" w:after="0" w:afterAutospacing="0"/>
        <w:jc w:val="both"/>
        <w:divId w:val="801579585"/>
        <w:rPr>
          <w:sz w:val="20"/>
          <w:szCs w:val="20"/>
        </w:rPr>
      </w:pPr>
      <w:r>
        <w:rPr>
          <w:b/>
          <w:bCs/>
          <w:sz w:val="20"/>
          <w:szCs w:val="20"/>
        </w:rPr>
        <w:t>Fiscal Period</w:t>
      </w:r>
      <w:r>
        <w:rPr>
          <w:b/>
          <w:bCs/>
          <w:sz w:val="20"/>
          <w:szCs w:val="20"/>
        </w:rPr>
        <w:t>.</w:t>
      </w:r>
      <w:r>
        <w:rPr>
          <w:sz w:val="20"/>
          <w:szCs w:val="20"/>
        </w:rPr>
        <w:t xml:space="preserve"> The Partnership uses a</w:t>
      </w:r>
      <w:r>
        <w:rPr>
          <w:sz w:val="20"/>
          <w:szCs w:val="20"/>
        </w:rPr>
        <w:t xml:space="preserve"> </w:t>
      </w:r>
      <w:r>
        <w:rPr>
          <w:sz w:val="20"/>
          <w:szCs w:val="20"/>
        </w:rPr>
        <w:t>5</w:t>
      </w:r>
      <w:r>
        <w:rPr>
          <w:sz w:val="20"/>
          <w:szCs w:val="20"/>
        </w:rPr>
        <w:t>2</w:t>
      </w:r>
      <w:r>
        <w:rPr>
          <w:sz w:val="20"/>
          <w:szCs w:val="20"/>
        </w:rPr>
        <w:t>/</w:t>
      </w:r>
      <w:r>
        <w:rPr>
          <w:sz w:val="20"/>
          <w:szCs w:val="20"/>
        </w:rPr>
        <w:t>5</w:t>
      </w:r>
      <w:r>
        <w:rPr>
          <w:sz w:val="20"/>
          <w:szCs w:val="20"/>
        </w:rPr>
        <w:t>3</w:t>
      </w:r>
      <w:r>
        <w:rPr>
          <w:sz w:val="20"/>
          <w:szCs w:val="20"/>
        </w:rPr>
        <w:t>-week fiscal year which ends on the last Saturday in September. The Partnership’s fiscal quarters</w:t>
      </w:r>
      <w:r>
        <w:rPr>
          <w:sz w:val="20"/>
          <w:szCs w:val="20"/>
        </w:rPr>
        <w:t xml:space="preserve"> are generally</w:t>
      </w:r>
      <w:r>
        <w:rPr>
          <w:sz w:val="20"/>
          <w:szCs w:val="20"/>
        </w:rPr>
        <w:t xml:space="preserve"> </w:t>
      </w:r>
      <w:r>
        <w:rPr>
          <w:sz w:val="20"/>
          <w:szCs w:val="20"/>
        </w:rPr>
        <w:t>thirtee</w:t>
      </w:r>
      <w:r>
        <w:rPr>
          <w:sz w:val="20"/>
          <w:szCs w:val="20"/>
        </w:rPr>
        <w:t>n</w:t>
      </w:r>
      <w:r>
        <w:rPr>
          <w:sz w:val="20"/>
          <w:szCs w:val="20"/>
        </w:rPr>
        <w:t xml:space="preserve"> weeks in duration. When the Partnership’s fiscal year is 53 weeks long, the corresponding fourth quarter is</w:t>
      </w:r>
      <w:r>
        <w:rPr>
          <w:sz w:val="20"/>
          <w:szCs w:val="20"/>
        </w:rPr>
        <w:t xml:space="preserve"> </w:t>
      </w:r>
      <w:r>
        <w:rPr>
          <w:sz w:val="20"/>
          <w:szCs w:val="20"/>
        </w:rPr>
        <w:t>fourtee</w:t>
      </w:r>
      <w:r>
        <w:rPr>
          <w:sz w:val="20"/>
          <w:szCs w:val="20"/>
        </w:rPr>
        <w:t>n</w:t>
      </w:r>
      <w:r>
        <w:rPr>
          <w:sz w:val="20"/>
          <w:szCs w:val="20"/>
        </w:rPr>
        <w:t xml:space="preserve"> weeks in duration</w:t>
      </w:r>
      <w:r>
        <w:rPr>
          <w:sz w:val="20"/>
          <w:szCs w:val="20"/>
        </w:rPr>
        <w:t>.</w:t>
      </w:r>
      <w:r>
        <w:rPr>
          <w:sz w:val="20"/>
          <w:szCs w:val="20"/>
        </w:rPr>
        <w:t xml:space="preserve"> </w:t>
      </w:r>
    </w:p>
    <w:p w:rsidR="00000000" w:rsidRDefault="00A749A6">
      <w:pPr>
        <w:pStyle w:val="a3"/>
        <w:spacing w:before="240" w:beforeAutospacing="0" w:after="0" w:afterAutospacing="0"/>
        <w:jc w:val="both"/>
        <w:divId w:val="946041801"/>
        <w:rPr>
          <w:sz w:val="20"/>
          <w:szCs w:val="20"/>
        </w:rPr>
      </w:pPr>
      <w:r>
        <w:rPr>
          <w:b/>
          <w:bCs/>
          <w:sz w:val="20"/>
          <w:szCs w:val="20"/>
        </w:rPr>
        <w:t>Revenue Recognition</w:t>
      </w:r>
      <w:r>
        <w:rPr>
          <w:b/>
          <w:bCs/>
          <w:sz w:val="20"/>
          <w:szCs w:val="20"/>
        </w:rPr>
        <w:t>.</w:t>
      </w:r>
      <w:r>
        <w:rPr>
          <w:sz w:val="20"/>
          <w:szCs w:val="20"/>
        </w:rPr>
        <w:t xml:space="preserve"> Revenue is recognized by the Partnership when goods or services promised i</w:t>
      </w:r>
      <w:r>
        <w:rPr>
          <w:sz w:val="20"/>
          <w:szCs w:val="20"/>
        </w:rPr>
        <w:t xml:space="preserve">n a contract with a customer have been transferred, and no further performance obligation on that transfer is required, in an amount that reflects the consideration expected to be received. Performance obligations are determined and evaluated based on the </w:t>
      </w:r>
      <w:r>
        <w:rPr>
          <w:sz w:val="20"/>
          <w:szCs w:val="20"/>
        </w:rPr>
        <w:t>specific terms of the arrangements and the distinct products and services offered. Due to the nature of the retail business of the Partnership, there are</w:t>
      </w:r>
      <w:r>
        <w:rPr>
          <w:sz w:val="20"/>
          <w:szCs w:val="20"/>
        </w:rPr>
        <w:t xml:space="preserve"> </w:t>
      </w:r>
      <w:r>
        <w:rPr>
          <w:sz w:val="20"/>
          <w:szCs w:val="20"/>
        </w:rPr>
        <w:t>n</w:t>
      </w:r>
      <w:r>
        <w:rPr>
          <w:sz w:val="20"/>
          <w:szCs w:val="20"/>
        </w:rPr>
        <w:t>o</w:t>
      </w:r>
      <w:r>
        <w:rPr>
          <w:sz w:val="20"/>
          <w:szCs w:val="20"/>
        </w:rPr>
        <w:t xml:space="preserve"> remaining or unsatisfied performance obligations as of the end of the reporting period, except for </w:t>
      </w:r>
      <w:r>
        <w:rPr>
          <w:sz w:val="20"/>
          <w:szCs w:val="20"/>
        </w:rPr>
        <w:t xml:space="preserve">tank rental agreements, maintenance service contracts, fixed price contracts and budgetary programs, as described below. The performance obligation associated with sales of propane, fuel oil and refined fuels is met at the time product is delivered to the </w:t>
      </w:r>
      <w:r>
        <w:rPr>
          <w:sz w:val="20"/>
          <w:szCs w:val="20"/>
        </w:rPr>
        <w:t>customer. Revenue from the sale of appliances and equipment is recognized at the time of sale or when installation is complete, as defined by the performance obligations included within the related customer contract. Revenue from repairs, maintenance and o</w:t>
      </w:r>
      <w:r>
        <w:rPr>
          <w:sz w:val="20"/>
          <w:szCs w:val="20"/>
        </w:rPr>
        <w:t>ther service activities is recognized upon completion of the service. Revenue from the sale of natural gas and electricity is recognized based on customer usage as determined by meter readings for amounts delivered, an immaterial amount of which may be unb</w:t>
      </w:r>
      <w:r>
        <w:rPr>
          <w:sz w:val="20"/>
          <w:szCs w:val="20"/>
        </w:rPr>
        <w:t>illed at the end of each accounting period</w:t>
      </w:r>
      <w:r>
        <w:rPr>
          <w:sz w:val="20"/>
          <w:szCs w:val="20"/>
        </w:rPr>
        <w:t>.</w:t>
      </w:r>
    </w:p>
    <w:p w:rsidR="00000000" w:rsidRDefault="00A749A6">
      <w:pPr>
        <w:pStyle w:val="a3"/>
        <w:spacing w:before="240" w:beforeAutospacing="0" w:after="0" w:afterAutospacing="0"/>
        <w:jc w:val="both"/>
        <w:divId w:val="946041801"/>
        <w:rPr>
          <w:sz w:val="20"/>
          <w:szCs w:val="20"/>
        </w:rPr>
      </w:pPr>
      <w:r>
        <w:rPr>
          <w:sz w:val="20"/>
          <w:szCs w:val="20"/>
        </w:rPr>
        <w:t>The Partnership defers the recognition of revenue for annually billed tank rent, maintenance service contracts, fixed price contracts and budgetary programs where customer consideration is received at the start o</w:t>
      </w:r>
      <w:r>
        <w:rPr>
          <w:sz w:val="20"/>
          <w:szCs w:val="20"/>
        </w:rPr>
        <w:t>f the contract period, establishing contract liabilities which are disclosed as customer deposits and advances on the condensed consolidated balance sheets. Deliveries to customers enrolled in budgetary programs that exceed billings to those customers esta</w:t>
      </w:r>
      <w:r>
        <w:rPr>
          <w:sz w:val="20"/>
          <w:szCs w:val="20"/>
        </w:rPr>
        <w:t>blish contract assets which are included in accounts receivable on the condensed consolidated balance sheets. The Partnership ratably recognizes revenue over the applicable term for tank rent and maintenance service agreements, which is generally</w:t>
      </w:r>
      <w:r>
        <w:rPr>
          <w:sz w:val="20"/>
          <w:szCs w:val="20"/>
        </w:rPr>
        <w:t xml:space="preserve"> </w:t>
      </w:r>
      <w:r>
        <w:rPr>
          <w:sz w:val="20"/>
          <w:szCs w:val="20"/>
        </w:rPr>
        <w:t>one yea</w:t>
      </w:r>
      <w:r>
        <w:rPr>
          <w:sz w:val="20"/>
          <w:szCs w:val="20"/>
        </w:rPr>
        <w:t>r</w:t>
      </w:r>
      <w:r>
        <w:rPr>
          <w:sz w:val="20"/>
          <w:szCs w:val="20"/>
        </w:rPr>
        <w:t>,</w:t>
      </w:r>
      <w:r>
        <w:rPr>
          <w:sz w:val="20"/>
          <w:szCs w:val="20"/>
        </w:rPr>
        <w:t xml:space="preserve"> and at the time of delivery for fixed price contracts and budgetary programs</w:t>
      </w:r>
      <w:r>
        <w:rPr>
          <w:sz w:val="20"/>
          <w:szCs w:val="20"/>
        </w:rPr>
        <w:t>.</w:t>
      </w:r>
      <w:r>
        <w:rPr>
          <w:sz w:val="20"/>
          <w:szCs w:val="20"/>
        </w:rPr>
        <w:t xml:space="preserve"> </w:t>
      </w:r>
    </w:p>
    <w:p w:rsidR="00000000" w:rsidRDefault="00A749A6">
      <w:pPr>
        <w:pStyle w:val="a3"/>
        <w:spacing w:before="240" w:beforeAutospacing="0" w:after="0" w:afterAutospacing="0"/>
        <w:jc w:val="both"/>
        <w:divId w:val="946041801"/>
        <w:rPr>
          <w:sz w:val="20"/>
          <w:szCs w:val="20"/>
        </w:rPr>
      </w:pPr>
      <w:r>
        <w:rPr>
          <w:sz w:val="20"/>
          <w:szCs w:val="20"/>
        </w:rPr>
        <w:t>The Partnership incurs incremental direct costs, such as commissions to its salesforce, to obtain certain contracts. These costs are expensed as incurred, consistent with the p</w:t>
      </w:r>
      <w:r>
        <w:rPr>
          <w:sz w:val="20"/>
          <w:szCs w:val="20"/>
        </w:rPr>
        <w:t>ractical expedients issued by the Financial Accounting Standards Board (“FASB”), since the expected amortization period is one year or less. The Partnership generally determines selling prices based on, among other things, the current weighted average cost</w:t>
      </w:r>
      <w:r>
        <w:rPr>
          <w:sz w:val="20"/>
          <w:szCs w:val="20"/>
        </w:rPr>
        <w:t xml:space="preserve"> and the current replacement cost of the product at the time of delivery, plus an applicable margin. Except for tank rental agreements, maintenance service contracts, fixed price contracts and budgetary programs, customer payments for the satisfaction of a</w:t>
      </w:r>
      <w:r>
        <w:rPr>
          <w:sz w:val="20"/>
          <w:szCs w:val="20"/>
        </w:rPr>
        <w:t xml:space="preserve"> performance obligation are due upon receipt</w:t>
      </w:r>
      <w:r>
        <w:rPr>
          <w:sz w:val="20"/>
          <w:szCs w:val="20"/>
        </w:rPr>
        <w:t>.</w:t>
      </w:r>
    </w:p>
    <w:p w:rsidR="00000000" w:rsidRDefault="00A749A6">
      <w:pPr>
        <w:pStyle w:val="a3"/>
        <w:spacing w:before="240" w:beforeAutospacing="0" w:after="0" w:afterAutospacing="0"/>
        <w:jc w:val="both"/>
        <w:divId w:val="368605593"/>
        <w:rPr>
          <w:sz w:val="20"/>
          <w:szCs w:val="20"/>
        </w:rPr>
      </w:pPr>
      <w:r>
        <w:rPr>
          <w:b/>
          <w:bCs/>
          <w:sz w:val="20"/>
          <w:szCs w:val="20"/>
        </w:rPr>
        <w:t>Fair Value Measurements</w:t>
      </w:r>
      <w:r>
        <w:rPr>
          <w:b/>
          <w:bCs/>
          <w:sz w:val="20"/>
          <w:szCs w:val="20"/>
        </w:rPr>
        <w:t>.</w:t>
      </w:r>
      <w:r>
        <w:rPr>
          <w:sz w:val="20"/>
          <w:szCs w:val="20"/>
        </w:rPr>
        <w:t xml:space="preserve"> The Partnership measures certain of its assets and liabilities at fair value, which is defined as the price that would be received to sell an asset or paid to transfer a liability in an</w:t>
      </w:r>
      <w:r>
        <w:rPr>
          <w:sz w:val="20"/>
          <w:szCs w:val="20"/>
        </w:rPr>
        <w:t xml:space="preserve"> orderly transaction between market participants – in either the principal market or the most advantageous market. The principal market is the market with the greatest level of activity and volume for the asset or liability</w:t>
      </w:r>
      <w:r>
        <w:rPr>
          <w:sz w:val="20"/>
          <w:szCs w:val="20"/>
        </w:rPr>
        <w:t>.</w:t>
      </w:r>
    </w:p>
    <w:p w:rsidR="00000000" w:rsidRDefault="00A749A6">
      <w:pPr>
        <w:pStyle w:val="a3"/>
        <w:spacing w:before="240" w:beforeAutospacing="0" w:after="0" w:afterAutospacing="0"/>
        <w:jc w:val="both"/>
        <w:divId w:val="368605593"/>
        <w:rPr>
          <w:sz w:val="20"/>
          <w:szCs w:val="20"/>
        </w:rPr>
      </w:pPr>
      <w:r>
        <w:rPr>
          <w:sz w:val="20"/>
          <w:szCs w:val="20"/>
        </w:rPr>
        <w:t>The common framework for measur</w:t>
      </w:r>
      <w:r>
        <w:rPr>
          <w:sz w:val="20"/>
          <w:szCs w:val="20"/>
        </w:rPr>
        <w:t>ing fair value utilizes a three-level hierarchy to prioritize the inputs used in the valuation techniques to derive fair values. The basis for fair value measurements for each level within the hierarchy is described below with Level 1 having the highest pr</w:t>
      </w:r>
      <w:r>
        <w:rPr>
          <w:sz w:val="20"/>
          <w:szCs w:val="20"/>
        </w:rPr>
        <w:t>iority and Level 3 having the lowest</w:t>
      </w:r>
      <w:r>
        <w:rPr>
          <w:sz w:val="20"/>
          <w:szCs w:val="20"/>
        </w:rPr>
        <w:t>.</w:t>
      </w:r>
    </w:p>
    <w:p w:rsidR="00000000" w:rsidRDefault="00A749A6">
      <w:pPr>
        <w:jc w:val="both"/>
        <w:divId w:val="1691106310"/>
        <w:rPr>
          <w:rFonts w:eastAsia="Times New Roman"/>
          <w:sz w:val="20"/>
          <w:szCs w:val="20"/>
        </w:rPr>
      </w:pPr>
      <w:r>
        <w:rPr>
          <w:rFonts w:eastAsia="Times New Roman"/>
          <w:sz w:val="20"/>
          <w:szCs w:val="20"/>
        </w:rPr>
        <w:t>•</w:t>
      </w:r>
    </w:p>
    <w:p w:rsidR="00000000" w:rsidRDefault="00A749A6">
      <w:pPr>
        <w:jc w:val="both"/>
        <w:divId w:val="246697715"/>
        <w:rPr>
          <w:rFonts w:eastAsia="Times New Roman"/>
          <w:sz w:val="20"/>
          <w:szCs w:val="20"/>
        </w:rPr>
      </w:pPr>
      <w:r>
        <w:rPr>
          <w:rFonts w:eastAsia="Times New Roman"/>
          <w:sz w:val="20"/>
          <w:szCs w:val="20"/>
        </w:rPr>
        <w:t>Level 1: Quoted prices in active markets for identical assets or liabilities</w:t>
      </w:r>
      <w:r>
        <w:rPr>
          <w:rFonts w:eastAsia="Times New Roman"/>
          <w:sz w:val="20"/>
          <w:szCs w:val="20"/>
        </w:rPr>
        <w:t>.</w:t>
      </w:r>
    </w:p>
    <w:p w:rsidR="00000000" w:rsidRDefault="00A749A6">
      <w:pPr>
        <w:jc w:val="both"/>
        <w:divId w:val="1752199431"/>
        <w:rPr>
          <w:rFonts w:eastAsia="Times New Roman"/>
          <w:sz w:val="20"/>
          <w:szCs w:val="20"/>
        </w:rPr>
      </w:pPr>
      <w:r>
        <w:rPr>
          <w:rFonts w:eastAsia="Times New Roman"/>
          <w:sz w:val="20"/>
          <w:szCs w:val="20"/>
        </w:rPr>
        <w:t>•</w:t>
      </w:r>
    </w:p>
    <w:p w:rsidR="00000000" w:rsidRDefault="00A749A6">
      <w:pPr>
        <w:jc w:val="both"/>
        <w:divId w:val="1473867550"/>
        <w:rPr>
          <w:rFonts w:eastAsia="Times New Roman"/>
          <w:sz w:val="20"/>
          <w:szCs w:val="20"/>
        </w:rPr>
      </w:pPr>
      <w:r>
        <w:rPr>
          <w:rFonts w:eastAsia="Times New Roman"/>
          <w:sz w:val="20"/>
          <w:szCs w:val="20"/>
        </w:rPr>
        <w:t>Level 2: Quoted prices in active markets for similar assets or liabilities; quoted prices for identical or similar instruments in market</w:t>
      </w:r>
      <w:r>
        <w:rPr>
          <w:rFonts w:eastAsia="Times New Roman"/>
          <w:sz w:val="20"/>
          <w:szCs w:val="20"/>
        </w:rPr>
        <w:t>s that are not active; and model-derived valuations in which all significant inputs are observable in active markets</w:t>
      </w:r>
      <w:r>
        <w:rPr>
          <w:rFonts w:eastAsia="Times New Roman"/>
          <w:sz w:val="20"/>
          <w:szCs w:val="20"/>
        </w:rPr>
        <w:t>.</w:t>
      </w:r>
    </w:p>
    <w:p w:rsidR="00000000" w:rsidRDefault="00A749A6">
      <w:pPr>
        <w:jc w:val="both"/>
        <w:divId w:val="1172183933"/>
        <w:rPr>
          <w:rFonts w:eastAsia="Times New Roman"/>
          <w:sz w:val="20"/>
          <w:szCs w:val="20"/>
        </w:rPr>
      </w:pPr>
      <w:r>
        <w:rPr>
          <w:rFonts w:eastAsia="Times New Roman"/>
          <w:sz w:val="20"/>
          <w:szCs w:val="20"/>
        </w:rPr>
        <w:t>•</w:t>
      </w:r>
    </w:p>
    <w:p w:rsidR="00000000" w:rsidRDefault="00A749A6">
      <w:pPr>
        <w:jc w:val="both"/>
        <w:divId w:val="1297836221"/>
        <w:rPr>
          <w:rFonts w:eastAsia="Times New Roman"/>
          <w:sz w:val="20"/>
          <w:szCs w:val="20"/>
        </w:rPr>
      </w:pPr>
      <w:r>
        <w:rPr>
          <w:rFonts w:eastAsia="Times New Roman"/>
          <w:sz w:val="20"/>
          <w:szCs w:val="20"/>
        </w:rPr>
        <w:t>Level 3: Valuations derived from valuation techniques in which one or more significant inputs are unobservable</w:t>
      </w:r>
      <w:r>
        <w:rPr>
          <w:rFonts w:eastAsia="Times New Roman"/>
          <w:sz w:val="20"/>
          <w:szCs w:val="20"/>
        </w:rPr>
        <w:t>.</w:t>
      </w:r>
    </w:p>
    <w:p w:rsidR="00000000" w:rsidRDefault="00A749A6">
      <w:pPr>
        <w:pStyle w:val="a3"/>
        <w:spacing w:before="240" w:beforeAutospacing="0" w:after="0" w:afterAutospacing="0"/>
        <w:jc w:val="both"/>
        <w:divId w:val="224149980"/>
        <w:rPr>
          <w:sz w:val="20"/>
          <w:szCs w:val="20"/>
        </w:rPr>
      </w:pPr>
      <w:r>
        <w:rPr>
          <w:b/>
          <w:bCs/>
          <w:sz w:val="20"/>
          <w:szCs w:val="20"/>
        </w:rPr>
        <w:t>Business Combinations</w:t>
      </w:r>
      <w:r>
        <w:rPr>
          <w:b/>
          <w:bCs/>
          <w:sz w:val="20"/>
          <w:szCs w:val="20"/>
        </w:rPr>
        <w:t>.</w:t>
      </w:r>
      <w:r>
        <w:rPr>
          <w:sz w:val="20"/>
          <w:szCs w:val="20"/>
        </w:rPr>
        <w:t xml:space="preserve"> T</w:t>
      </w:r>
      <w:r>
        <w:rPr>
          <w:sz w:val="20"/>
          <w:szCs w:val="20"/>
        </w:rPr>
        <w:t>he Partnership accounts for business combinations using the acquisition method and accordingly, the assets and liabilities of the acquired entities are recorded at their estimated fair values at the acquisition date. Goodwill represents the excess of the p</w:t>
      </w:r>
      <w:r>
        <w:rPr>
          <w:sz w:val="20"/>
          <w:szCs w:val="20"/>
        </w:rPr>
        <w:t xml:space="preserve">urchase price over the fair value of the net assets acquired, including the amount assigned to identifiable intangible assets. The primary drivers that generate goodwill are the value of synergies between the acquired entities and the Partnership, and the </w:t>
      </w:r>
      <w:r>
        <w:rPr>
          <w:sz w:val="20"/>
          <w:szCs w:val="20"/>
        </w:rPr>
        <w:t>acquired assembled workforce, neither of which qualifies as an identifiable intangible asset. Identifiable intangible assets with finite lives are amortized over their useful lives. The results of operations of acquired businesses are included in the conde</w:t>
      </w:r>
      <w:r>
        <w:rPr>
          <w:sz w:val="20"/>
          <w:szCs w:val="20"/>
        </w:rPr>
        <w:t>nsed consolidated financial statements from the acquisition date. The Partnership expenses all acquisition-related costs as incurred</w:t>
      </w:r>
      <w:r>
        <w:rPr>
          <w:sz w:val="20"/>
          <w:szCs w:val="20"/>
        </w:rPr>
        <w:t>.</w:t>
      </w:r>
    </w:p>
    <w:p w:rsidR="00000000" w:rsidRDefault="00A749A6">
      <w:pPr>
        <w:pStyle w:val="a3"/>
        <w:spacing w:before="240" w:beforeAutospacing="0" w:after="0" w:afterAutospacing="0"/>
        <w:jc w:val="both"/>
        <w:divId w:val="962031248"/>
        <w:rPr>
          <w:sz w:val="20"/>
          <w:szCs w:val="20"/>
        </w:rPr>
      </w:pPr>
      <w:r>
        <w:rPr>
          <w:b/>
          <w:bCs/>
          <w:sz w:val="20"/>
          <w:szCs w:val="20"/>
        </w:rPr>
        <w:t>Use of Estimates</w:t>
      </w:r>
      <w:r>
        <w:rPr>
          <w:b/>
          <w:bCs/>
          <w:sz w:val="20"/>
          <w:szCs w:val="20"/>
        </w:rPr>
        <w:t>.</w:t>
      </w:r>
      <w:r>
        <w:rPr>
          <w:sz w:val="20"/>
          <w:szCs w:val="20"/>
        </w:rPr>
        <w:t xml:space="preserve"> </w:t>
      </w:r>
      <w:r>
        <w:rPr>
          <w:sz w:val="20"/>
          <w:szCs w:val="20"/>
        </w:rPr>
        <w:t>The preparation of financial statements in conformity with accounting principles generally accepted in t</w:t>
      </w:r>
      <w:r>
        <w:rPr>
          <w:sz w:val="20"/>
          <w:szCs w:val="20"/>
        </w:rPr>
        <w:t>he United States of America (“US GAAP”) requires management to make estimates and assumptions that affect the reported amounts of assets and liabilities and disclosure of contingent assets and liabilities at the date of the financial statements and the rep</w:t>
      </w:r>
      <w:r>
        <w:rPr>
          <w:sz w:val="20"/>
          <w:szCs w:val="20"/>
        </w:rPr>
        <w:t>orted amounts of revenues and expenses during the reporting period. Estimates have been made by management in the areas of self-insurance and litigation reserves, pension and other postretirement benefit liabilities and costs, valuation of derivative instr</w:t>
      </w:r>
      <w:r>
        <w:rPr>
          <w:sz w:val="20"/>
          <w:szCs w:val="20"/>
        </w:rPr>
        <w:t>uments, depreciation an</w:t>
      </w:r>
      <w:r>
        <w:rPr>
          <w:sz w:val="20"/>
          <w:szCs w:val="20"/>
        </w:rPr>
        <w:t>d</w:t>
      </w:r>
      <w:r>
        <w:rPr>
          <w:sz w:val="20"/>
          <w:szCs w:val="20"/>
        </w:rPr>
        <w:t xml:space="preserve"> </w:t>
      </w:r>
    </w:p>
    <w:p w:rsidR="00000000" w:rsidRDefault="00A749A6">
      <w:pPr>
        <w:pStyle w:val="a3"/>
        <w:spacing w:before="0" w:beforeAutospacing="0" w:after="0" w:afterAutospacing="0"/>
        <w:jc w:val="center"/>
        <w:divId w:val="962031248"/>
        <w:rPr>
          <w:sz w:val="20"/>
          <w:szCs w:val="20"/>
        </w:rPr>
      </w:pPr>
      <w:r>
        <w:rPr>
          <w:sz w:val="20"/>
          <w:szCs w:val="20"/>
        </w:rPr>
        <w:t> </w:t>
      </w:r>
    </w:p>
    <w:p w:rsidR="00000000" w:rsidRDefault="00A749A6">
      <w:pPr>
        <w:pStyle w:val="a3"/>
        <w:spacing w:before="0" w:beforeAutospacing="0" w:after="0" w:afterAutospacing="0"/>
        <w:jc w:val="center"/>
        <w:divId w:val="962031248"/>
        <w:rPr>
          <w:sz w:val="20"/>
          <w:szCs w:val="20"/>
        </w:rPr>
      </w:pPr>
      <w:r>
        <w:rPr>
          <w:sz w:val="20"/>
          <w:szCs w:val="20"/>
        </w:rPr>
        <w:t>9</w:t>
      </w:r>
    </w:p>
    <w:p w:rsidR="00000000" w:rsidRDefault="00A749A6">
      <w:pPr>
        <w:divId w:val="962031248"/>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A749A6">
      <w:pPr>
        <w:pStyle w:val="a3"/>
        <w:spacing w:before="0" w:beforeAutospacing="0" w:after="0" w:afterAutospacing="0"/>
        <w:divId w:val="962031248"/>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240" w:beforeAutospacing="0" w:after="0" w:afterAutospacing="0"/>
        <w:jc w:val="both"/>
        <w:divId w:val="962031248"/>
        <w:rPr>
          <w:sz w:val="20"/>
          <w:szCs w:val="20"/>
        </w:rPr>
      </w:pPr>
      <w:r>
        <w:rPr>
          <w:sz w:val="20"/>
          <w:szCs w:val="20"/>
        </w:rPr>
        <w:t>amortization</w:t>
      </w:r>
      <w:r>
        <w:rPr>
          <w:sz w:val="20"/>
          <w:szCs w:val="20"/>
        </w:rPr>
        <w:t xml:space="preserve"> </w:t>
      </w:r>
      <w:r>
        <w:rPr>
          <w:sz w:val="20"/>
          <w:szCs w:val="20"/>
        </w:rPr>
        <w:t>of long-lived assets, asset impairment assessments, tax valuation allowances, allowances for doubtful accounts, and purchase price allocation for acquired businesses. The Partnership uses Society of Actuaries life expectancy information when developing the</w:t>
      </w:r>
      <w:r>
        <w:rPr>
          <w:sz w:val="20"/>
          <w:szCs w:val="20"/>
        </w:rPr>
        <w:t xml:space="preserve"> annual mortality assumptions for the pension and postretirement benefit plans, which are used to measure net periodic benefit costs and the obligation under these plans. Actual results could differ from those estimates, making it reasonably possible that </w:t>
      </w:r>
      <w:r>
        <w:rPr>
          <w:sz w:val="20"/>
          <w:szCs w:val="20"/>
        </w:rPr>
        <w:t>a material change in these estimates could occur in the near term</w:t>
      </w:r>
      <w:r>
        <w:rPr>
          <w:sz w:val="20"/>
          <w:szCs w:val="20"/>
        </w:rPr>
        <w:t>.</w:t>
      </w:r>
    </w:p>
    <w:p w:rsidR="00000000" w:rsidRDefault="00A749A6">
      <w:pPr>
        <w:pStyle w:val="a3"/>
        <w:spacing w:before="240" w:beforeAutospacing="0" w:after="0" w:afterAutospacing="0"/>
        <w:jc w:val="both"/>
        <w:divId w:val="858784270"/>
        <w:rPr>
          <w:sz w:val="20"/>
          <w:szCs w:val="20"/>
        </w:rPr>
      </w:pPr>
      <w:r>
        <w:rPr>
          <w:b/>
          <w:bCs/>
          <w:sz w:val="20"/>
          <w:szCs w:val="20"/>
        </w:rPr>
        <w:t>Recently Issued Accounting Pronouncements</w:t>
      </w:r>
      <w:r>
        <w:rPr>
          <w:b/>
          <w:bCs/>
          <w:sz w:val="20"/>
          <w:szCs w:val="20"/>
        </w:rPr>
        <w:t>.</w:t>
      </w:r>
      <w:r>
        <w:rPr>
          <w:sz w:val="20"/>
          <w:szCs w:val="20"/>
        </w:rPr>
        <w:t xml:space="preserve"> In January 2021, the FASB issued Accounting Standards Update (“ASU”) 2021-01 “Reference Rate Reform” (“Topic 848”). This update provides optional </w:t>
      </w:r>
      <w:r>
        <w:rPr>
          <w:sz w:val="20"/>
          <w:szCs w:val="20"/>
        </w:rPr>
        <w:t>expedients and exceptions for contracts, hedging relationships, and other transactions that reference the London Interbank Offered Rate (“LIBOR”) or another reference rate expected to be discontinued because of reference rate reform. Topic 848 became effec</w:t>
      </w:r>
      <w:r>
        <w:rPr>
          <w:sz w:val="20"/>
          <w:szCs w:val="20"/>
        </w:rPr>
        <w:t xml:space="preserve">tive for all entities as of March 12, 2020, and will continue through December 31, 2022, which will be the Partnership’s first quarter of fiscal 2023. LIBOR rates based on US dollars will have an extended expiration date of June 30, 2023. Borrowings under </w:t>
      </w:r>
      <w:r>
        <w:rPr>
          <w:sz w:val="20"/>
          <w:szCs w:val="20"/>
        </w:rPr>
        <w:t>the Partnership’s revolving credit facility bear interest at prevailing interest rates based partially on LIBOR (refer to Note 10, “Long-Term Borrowings” for more details). The Partnership does not expect that the adoption of Topic 848 will have a material</w:t>
      </w:r>
      <w:r>
        <w:rPr>
          <w:sz w:val="20"/>
          <w:szCs w:val="20"/>
        </w:rPr>
        <w:t xml:space="preserve"> impact on the Partnership’s condensed consolidated financial statements</w:t>
      </w:r>
      <w:r>
        <w:rPr>
          <w:sz w:val="20"/>
          <w:szCs w:val="20"/>
        </w:rPr>
        <w:t>.</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jc w:val="both"/>
        <w:divId w:val="1534197980"/>
        <w:rPr>
          <w:rFonts w:eastAsia="Times New Roman"/>
          <w:sz w:val="20"/>
          <w:szCs w:val="20"/>
        </w:rPr>
      </w:pPr>
      <w:r>
        <w:rPr>
          <w:rFonts w:eastAsia="Times New Roman"/>
          <w:b/>
          <w:bCs/>
          <w:sz w:val="20"/>
          <w:szCs w:val="20"/>
        </w:rPr>
        <w:t>3</w:t>
      </w:r>
      <w:r>
        <w:rPr>
          <w:rFonts w:eastAsia="Times New Roman"/>
          <w:b/>
          <w:bCs/>
          <w:sz w:val="20"/>
          <w:szCs w:val="20"/>
        </w:rPr>
        <w:t>.</w:t>
      </w:r>
    </w:p>
    <w:p w:rsidR="00000000" w:rsidRDefault="00A749A6">
      <w:pPr>
        <w:jc w:val="both"/>
        <w:divId w:val="1929650641"/>
        <w:rPr>
          <w:rFonts w:eastAsia="Times New Roman"/>
          <w:sz w:val="20"/>
          <w:szCs w:val="20"/>
        </w:rPr>
      </w:pPr>
      <w:r>
        <w:rPr>
          <w:rFonts w:eastAsia="Times New Roman"/>
          <w:b/>
          <w:bCs/>
          <w:sz w:val="20"/>
          <w:szCs w:val="20"/>
        </w:rPr>
        <w:t>Disaggregation of Revenu</w:t>
      </w:r>
      <w:r>
        <w:rPr>
          <w:rFonts w:eastAsia="Times New Roman"/>
          <w:b/>
          <w:bCs/>
          <w:sz w:val="20"/>
          <w:szCs w:val="20"/>
        </w:rPr>
        <w:t>e</w:t>
      </w:r>
    </w:p>
    <w:p w:rsidR="00000000" w:rsidRDefault="00A749A6">
      <w:pPr>
        <w:pStyle w:val="a3"/>
        <w:spacing w:before="120" w:beforeAutospacing="0" w:after="0" w:afterAutospacing="0"/>
        <w:jc w:val="both"/>
        <w:divId w:val="1351106816"/>
        <w:rPr>
          <w:sz w:val="20"/>
          <w:szCs w:val="20"/>
        </w:rPr>
      </w:pPr>
      <w:r>
        <w:rPr>
          <w:sz w:val="20"/>
          <w:szCs w:val="20"/>
        </w:rPr>
        <w:t>The following table disaggregates revenue for each customer type</w:t>
      </w:r>
      <w:r>
        <w:rPr>
          <w:sz w:val="20"/>
          <w:szCs w:val="20"/>
        </w:rPr>
        <w:t>.</w:t>
      </w:r>
      <w:r>
        <w:rPr>
          <w:sz w:val="20"/>
          <w:szCs w:val="20"/>
        </w:rPr>
        <w:t xml:space="preserve"> See Note 18, “Segment Information” for more information on segment reporting wherein </w:t>
      </w:r>
      <w:r>
        <w:rPr>
          <w:sz w:val="20"/>
          <w:szCs w:val="20"/>
        </w:rPr>
        <w:t>it is disclosed that the Partnership’s Propane, Fuel Oil and Refined Fuels and Natural Gas and Electricity reportable segments generated approximately</w:t>
      </w:r>
      <w:r>
        <w:rPr>
          <w:sz w:val="20"/>
          <w:szCs w:val="20"/>
        </w:rPr>
        <w:t xml:space="preserve"> </w:t>
      </w:r>
      <w:r>
        <w:rPr>
          <w:sz w:val="20"/>
          <w:szCs w:val="20"/>
        </w:rPr>
        <w:t>8</w:t>
      </w:r>
      <w:r>
        <w:rPr>
          <w:sz w:val="20"/>
          <w:szCs w:val="20"/>
        </w:rPr>
        <w:t>8</w:t>
      </w:r>
      <w:r>
        <w:rPr>
          <w:sz w:val="20"/>
          <w:szCs w:val="20"/>
        </w:rPr>
        <w:t>%,</w:t>
      </w:r>
      <w:r>
        <w:rPr>
          <w:sz w:val="20"/>
          <w:szCs w:val="20"/>
        </w:rPr>
        <w:t xml:space="preserve"> </w:t>
      </w:r>
      <w:r>
        <w:rPr>
          <w:sz w:val="20"/>
          <w:szCs w:val="20"/>
        </w:rPr>
        <w:t>7</w:t>
      </w:r>
      <w:r>
        <w:rPr>
          <w:sz w:val="20"/>
          <w:szCs w:val="20"/>
        </w:rPr>
        <w:t>% and</w:t>
      </w:r>
      <w:r>
        <w:rPr>
          <w:sz w:val="20"/>
          <w:szCs w:val="20"/>
        </w:rPr>
        <w:t xml:space="preserve"> </w:t>
      </w:r>
      <w:r>
        <w:rPr>
          <w:sz w:val="20"/>
          <w:szCs w:val="20"/>
        </w:rPr>
        <w:t>2</w:t>
      </w:r>
      <w:r>
        <w:rPr>
          <w:sz w:val="20"/>
          <w:szCs w:val="20"/>
        </w:rPr>
        <w:t>%, respectively, of the Partnership’s revenue from its reportable segments for all periods p</w:t>
      </w:r>
      <w:r>
        <w:rPr>
          <w:sz w:val="20"/>
          <w:szCs w:val="20"/>
        </w:rPr>
        <w:t>resented. The propane segment contributes the majority of the Partnership’s revenue and the concentration of revenue by customer type for the propane segment is not materially different from the consolidated revenue</w:t>
      </w:r>
      <w:r>
        <w:rPr>
          <w:sz w:val="20"/>
          <w:szCs w:val="20"/>
        </w:rPr>
        <w:t>.</w:t>
      </w:r>
    </w:p>
    <w:p w:rsidR="00000000" w:rsidRDefault="00A749A6">
      <w:pPr>
        <w:pStyle w:val="a3"/>
        <w:spacing w:before="0" w:beforeAutospacing="0" w:after="0" w:afterAutospacing="0"/>
        <w:jc w:val="both"/>
        <w:divId w:val="872111893"/>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533"/>
        <w:gridCol w:w="160"/>
        <w:gridCol w:w="1278"/>
        <w:gridCol w:w="110"/>
        <w:gridCol w:w="160"/>
        <w:gridCol w:w="160"/>
        <w:gridCol w:w="1288"/>
        <w:gridCol w:w="125"/>
      </w:tblGrid>
      <w:tr w:rsidR="00000000">
        <w:trPr>
          <w:divId w:val="872111893"/>
          <w:tblCellSpacing w:w="15" w:type="dxa"/>
        </w:trPr>
        <w:tc>
          <w:tcPr>
            <w:tcW w:w="2288" w:type="pct"/>
            <w:vAlign w:val="center"/>
            <w:hideMark/>
          </w:tcPr>
          <w:p w:rsidR="00000000" w:rsidRDefault="00A749A6">
            <w:pPr>
              <w:rPr>
                <w:sz w:val="20"/>
                <w:szCs w:val="20"/>
              </w:rPr>
            </w:pPr>
          </w:p>
        </w:tc>
        <w:tc>
          <w:tcPr>
            <w:tcW w:w="50" w:type="pct"/>
            <w:vAlign w:val="center"/>
            <w:hideMark/>
          </w:tcPr>
          <w:p w:rsidR="00000000" w:rsidRDefault="00A749A6">
            <w:pPr>
              <w:rPr>
                <w:rFonts w:eastAsia="Times New Roman"/>
                <w:sz w:val="20"/>
                <w:szCs w:val="20"/>
              </w:rPr>
            </w:pPr>
          </w:p>
        </w:tc>
        <w:tc>
          <w:tcPr>
            <w:tcW w:w="117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161"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1179"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divId w:val="872111893"/>
          <w:trHeight w:val="160"/>
          <w:tblCellSpacing w:w="15" w:type="dxa"/>
        </w:trPr>
        <w:tc>
          <w:tcPr>
            <w:tcW w:w="0" w:type="auto"/>
            <w:vAlign w:val="bottom"/>
            <w:hideMark/>
          </w:tcPr>
          <w:p w:rsidR="00000000" w:rsidRDefault="00A749A6">
            <w:pPr>
              <w:pStyle w:val="a3"/>
              <w:spacing w:before="0" w:beforeAutospacing="0" w:after="0" w:afterAutospacing="0"/>
              <w:rPr>
                <w:sz w:val="22"/>
                <w:szCs w:val="22"/>
              </w:rPr>
            </w:pPr>
            <w:r>
              <w:rPr>
                <w:sz w:val="22"/>
                <w:szCs w:val="22"/>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872111893"/>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26</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872111893"/>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872111893"/>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Retai</w:t>
            </w:r>
            <w:r>
              <w:rPr>
                <w:sz w:val="20"/>
                <w:szCs w:val="20"/>
              </w:rPr>
              <w:t>l</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divId w:val="872111893"/>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Residentia</w:t>
            </w:r>
            <w:r>
              <w:rPr>
                <w:sz w:val="20"/>
                <w:szCs w:val="20"/>
              </w:rPr>
              <w:t>l</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143,81</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120,18</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872111893"/>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Commercia</w:t>
            </w:r>
            <w:r>
              <w:rPr>
                <w:sz w:val="20"/>
                <w:szCs w:val="20"/>
              </w:rPr>
              <w:t>l</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95,34</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76,21</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872111893"/>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Industria</w:t>
            </w:r>
            <w:r>
              <w:rPr>
                <w:sz w:val="20"/>
                <w:szCs w:val="20"/>
              </w:rPr>
              <w:t>l</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31,65</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25,27</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872111893"/>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Agricultura</w:t>
            </w:r>
            <w:r>
              <w:rPr>
                <w:sz w:val="20"/>
                <w:szCs w:val="20"/>
              </w:rPr>
              <w:t>l</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8,35</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6,18</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872111893"/>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Governmen</w:t>
            </w:r>
            <w:r>
              <w:rPr>
                <w:sz w:val="20"/>
                <w:szCs w:val="20"/>
              </w:rPr>
              <w:t>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13,29</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9,28</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872111893"/>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Wholesal</w:t>
            </w:r>
            <w:r>
              <w:rPr>
                <w:sz w:val="20"/>
                <w:szCs w:val="20"/>
              </w:rPr>
              <w:t>e</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7,87</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94</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872111893"/>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Total revenue</w:t>
            </w:r>
            <w:r>
              <w:rPr>
                <w:sz w:val="20"/>
                <w:szCs w:val="20"/>
              </w:rPr>
              <w:t>s</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300,33</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238,08</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bl>
    <w:p w:rsidR="00000000" w:rsidRDefault="00A749A6">
      <w:pPr>
        <w:pStyle w:val="a3"/>
        <w:spacing w:before="0" w:beforeAutospacing="0" w:after="0" w:afterAutospacing="0"/>
        <w:jc w:val="both"/>
        <w:divId w:val="872111893"/>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533"/>
        <w:gridCol w:w="160"/>
        <w:gridCol w:w="1278"/>
        <w:gridCol w:w="110"/>
        <w:gridCol w:w="160"/>
        <w:gridCol w:w="160"/>
        <w:gridCol w:w="1288"/>
        <w:gridCol w:w="125"/>
      </w:tblGrid>
      <w:tr w:rsidR="00000000">
        <w:trPr>
          <w:divId w:val="872111893"/>
          <w:tblCellSpacing w:w="15" w:type="dxa"/>
        </w:trPr>
        <w:tc>
          <w:tcPr>
            <w:tcW w:w="2288" w:type="pct"/>
            <w:vAlign w:val="center"/>
            <w:hideMark/>
          </w:tcPr>
          <w:p w:rsidR="00000000" w:rsidRDefault="00A749A6">
            <w:pPr>
              <w:rPr>
                <w:sz w:val="20"/>
                <w:szCs w:val="20"/>
              </w:rPr>
            </w:pPr>
          </w:p>
        </w:tc>
        <w:tc>
          <w:tcPr>
            <w:tcW w:w="50" w:type="pct"/>
            <w:vAlign w:val="center"/>
            <w:hideMark/>
          </w:tcPr>
          <w:p w:rsidR="00000000" w:rsidRDefault="00A749A6">
            <w:pPr>
              <w:rPr>
                <w:rFonts w:eastAsia="Times New Roman"/>
                <w:sz w:val="20"/>
                <w:szCs w:val="20"/>
              </w:rPr>
            </w:pPr>
          </w:p>
        </w:tc>
        <w:tc>
          <w:tcPr>
            <w:tcW w:w="117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161"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1179"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divId w:val="872111893"/>
          <w:trHeight w:val="160"/>
          <w:tblCellSpacing w:w="15" w:type="dxa"/>
        </w:trPr>
        <w:tc>
          <w:tcPr>
            <w:tcW w:w="0" w:type="auto"/>
            <w:vAlign w:val="bottom"/>
            <w:hideMark/>
          </w:tcPr>
          <w:p w:rsidR="00000000" w:rsidRDefault="00A749A6">
            <w:pPr>
              <w:pStyle w:val="a3"/>
              <w:spacing w:before="0" w:beforeAutospacing="0" w:after="0" w:afterAutospacing="0"/>
              <w:rPr>
                <w:sz w:val="22"/>
                <w:szCs w:val="22"/>
              </w:rPr>
            </w:pPr>
            <w:r>
              <w:rPr>
                <w:sz w:val="22"/>
                <w:szCs w:val="22"/>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Nine Months Ende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872111893"/>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26</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872111893"/>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872111893"/>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Retai</w:t>
            </w:r>
            <w:r>
              <w:rPr>
                <w:sz w:val="20"/>
                <w:szCs w:val="20"/>
              </w:rPr>
              <w:t>l</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divId w:val="872111893"/>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Residentia</w:t>
            </w:r>
            <w:r>
              <w:rPr>
                <w:sz w:val="20"/>
                <w:szCs w:val="20"/>
              </w:rPr>
              <w:t>l</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684,37</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605,82</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872111893"/>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Commercia</w:t>
            </w:r>
            <w:r>
              <w:rPr>
                <w:sz w:val="20"/>
                <w:szCs w:val="20"/>
              </w:rPr>
              <w:t>l</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358,12</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284,54</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872111893"/>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Industria</w:t>
            </w:r>
            <w:r>
              <w:rPr>
                <w:sz w:val="20"/>
                <w:szCs w:val="20"/>
              </w:rPr>
              <w:t>l</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107,22</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86,51</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872111893"/>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Agricultura</w:t>
            </w:r>
            <w:r>
              <w:rPr>
                <w:sz w:val="20"/>
                <w:szCs w:val="20"/>
              </w:rPr>
              <w:t>l</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38,07</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30,89</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872111893"/>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Governmen</w:t>
            </w:r>
            <w:r>
              <w:rPr>
                <w:sz w:val="20"/>
                <w:szCs w:val="20"/>
              </w:rPr>
              <w:t>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57,56</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44,76</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872111893"/>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Wholesal</w:t>
            </w:r>
            <w:r>
              <w:rPr>
                <w:sz w:val="20"/>
                <w:szCs w:val="20"/>
              </w:rPr>
              <w:t>e</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18,47</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27,98</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872111893"/>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Total revenue</w:t>
            </w:r>
            <w:r>
              <w:rPr>
                <w:sz w:val="20"/>
                <w:szCs w:val="20"/>
              </w:rPr>
              <w:t>s</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1,263,83</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1,080,51</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bl>
    <w:p w:rsidR="00000000" w:rsidRDefault="00A749A6">
      <w:pPr>
        <w:pStyle w:val="a3"/>
        <w:spacing w:before="0" w:beforeAutospacing="0" w:after="0" w:afterAutospacing="0"/>
        <w:jc w:val="both"/>
        <w:divId w:val="1351106816"/>
        <w:rPr>
          <w:sz w:val="20"/>
          <w:szCs w:val="20"/>
        </w:rPr>
      </w:pPr>
      <w:r>
        <w:rPr>
          <w:sz w:val="20"/>
          <w:szCs w:val="20"/>
        </w:rPr>
        <w:t> </w:t>
      </w:r>
    </w:p>
    <w:p w:rsidR="00000000" w:rsidRDefault="00A749A6">
      <w:pPr>
        <w:pStyle w:val="a3"/>
        <w:spacing w:before="40" w:beforeAutospacing="0" w:after="0" w:afterAutospacing="0"/>
        <w:jc w:val="both"/>
        <w:divId w:val="1351106816"/>
        <w:rPr>
          <w:sz w:val="20"/>
          <w:szCs w:val="20"/>
        </w:rPr>
      </w:pPr>
      <w:r>
        <w:rPr>
          <w:sz w:val="20"/>
          <w:szCs w:val="20"/>
        </w:rPr>
        <w:t xml:space="preserve">The Partnership recognized </w:t>
      </w:r>
      <w:r>
        <w:rPr>
          <w:sz w:val="20"/>
          <w:szCs w:val="20"/>
        </w:rPr>
        <w:t>$</w:t>
      </w:r>
      <w:r>
        <w:rPr>
          <w:sz w:val="20"/>
          <w:szCs w:val="20"/>
        </w:rPr>
        <w:t>5,55</w:t>
      </w:r>
      <w:r>
        <w:rPr>
          <w:sz w:val="20"/>
          <w:szCs w:val="20"/>
        </w:rPr>
        <w:t>6</w:t>
      </w:r>
      <w:r>
        <w:rPr>
          <w:sz w:val="20"/>
          <w:szCs w:val="20"/>
        </w:rPr>
        <w:t xml:space="preserve"> and </w:t>
      </w:r>
      <w:r>
        <w:rPr>
          <w:sz w:val="20"/>
          <w:szCs w:val="20"/>
        </w:rPr>
        <w:t>$</w:t>
      </w:r>
      <w:r>
        <w:rPr>
          <w:sz w:val="20"/>
          <w:szCs w:val="20"/>
        </w:rPr>
        <w:t>74,33</w:t>
      </w:r>
      <w:r>
        <w:rPr>
          <w:sz w:val="20"/>
          <w:szCs w:val="20"/>
        </w:rPr>
        <w:t>2</w:t>
      </w:r>
      <w:r>
        <w:rPr>
          <w:sz w:val="20"/>
          <w:szCs w:val="20"/>
        </w:rPr>
        <w:t xml:space="preserve"> of revenue during the three and nine months ended June 25, 2022, respectively, and </w:t>
      </w:r>
      <w:r>
        <w:rPr>
          <w:sz w:val="20"/>
          <w:szCs w:val="20"/>
        </w:rPr>
        <w:t>$</w:t>
      </w:r>
      <w:r>
        <w:rPr>
          <w:sz w:val="20"/>
          <w:szCs w:val="20"/>
        </w:rPr>
        <w:t>7,19</w:t>
      </w:r>
      <w:r>
        <w:rPr>
          <w:sz w:val="20"/>
          <w:szCs w:val="20"/>
        </w:rPr>
        <w:t>4</w:t>
      </w:r>
      <w:r>
        <w:rPr>
          <w:sz w:val="20"/>
          <w:szCs w:val="20"/>
        </w:rPr>
        <w:t xml:space="preserve"> and </w:t>
      </w:r>
      <w:r>
        <w:rPr>
          <w:sz w:val="20"/>
          <w:szCs w:val="20"/>
        </w:rPr>
        <w:t>$</w:t>
      </w:r>
      <w:r>
        <w:rPr>
          <w:sz w:val="20"/>
          <w:szCs w:val="20"/>
        </w:rPr>
        <w:t>72,15</w:t>
      </w:r>
      <w:r>
        <w:rPr>
          <w:sz w:val="20"/>
          <w:szCs w:val="20"/>
        </w:rPr>
        <w:t>1</w:t>
      </w:r>
      <w:r>
        <w:rPr>
          <w:sz w:val="20"/>
          <w:szCs w:val="20"/>
        </w:rPr>
        <w:t xml:space="preserve"> during the three and nine months ended June 26, 2021, respectively, for annually billed tank rent, maintenan</w:t>
      </w:r>
      <w:r>
        <w:rPr>
          <w:sz w:val="20"/>
          <w:szCs w:val="20"/>
        </w:rPr>
        <w:t xml:space="preserve">ce service contracts, fixed price contracts and budgetary programs where customer consideration was received at the start of the contract period, and which was included in contract liabilities as of the beginning of each respective period. Contract assets </w:t>
      </w:r>
      <w:r>
        <w:rPr>
          <w:sz w:val="20"/>
          <w:szCs w:val="20"/>
        </w:rPr>
        <w:t xml:space="preserve">of </w:t>
      </w:r>
      <w:r>
        <w:rPr>
          <w:sz w:val="20"/>
          <w:szCs w:val="20"/>
        </w:rPr>
        <w:t>$</w:t>
      </w:r>
      <w:r>
        <w:rPr>
          <w:sz w:val="20"/>
          <w:szCs w:val="20"/>
        </w:rPr>
        <w:t>17,33</w:t>
      </w:r>
      <w:r>
        <w:rPr>
          <w:sz w:val="20"/>
          <w:szCs w:val="20"/>
        </w:rPr>
        <w:t>3</w:t>
      </w:r>
      <w:r>
        <w:rPr>
          <w:sz w:val="20"/>
          <w:szCs w:val="20"/>
        </w:rPr>
        <w:t xml:space="preserve"> and </w:t>
      </w:r>
      <w:r>
        <w:rPr>
          <w:sz w:val="20"/>
          <w:szCs w:val="20"/>
        </w:rPr>
        <w:t>$</w:t>
      </w:r>
      <w:r>
        <w:rPr>
          <w:sz w:val="20"/>
          <w:szCs w:val="20"/>
        </w:rPr>
        <w:t>6,00</w:t>
      </w:r>
      <w:r>
        <w:rPr>
          <w:sz w:val="20"/>
          <w:szCs w:val="20"/>
        </w:rPr>
        <w:t>4</w:t>
      </w:r>
      <w:r>
        <w:rPr>
          <w:sz w:val="20"/>
          <w:szCs w:val="20"/>
        </w:rPr>
        <w:t xml:space="preserve"> relating to deliveries to customers enrolled in budgetary programs that exceeded billings to those customers were included in accounts receivable as of June 25, 2022 and September 25, 2021, respectively</w:t>
      </w:r>
      <w:r>
        <w:rPr>
          <w:sz w:val="20"/>
          <w:szCs w:val="20"/>
        </w:rPr>
        <w:t>.</w:t>
      </w:r>
      <w:r>
        <w:rPr>
          <w:sz w:val="20"/>
          <w:szCs w:val="20"/>
        </w:rPr>
        <w:t xml:space="preserve">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1</w:t>
      </w:r>
      <w:r>
        <w:rPr>
          <w:sz w:val="20"/>
          <w:szCs w:val="20"/>
        </w:rPr>
        <w:t>0</w:t>
      </w:r>
    </w:p>
    <w:p w:rsidR="00000000" w:rsidRDefault="00A749A6">
      <w:pPr>
        <w:rPr>
          <w:rFonts w:eastAsia="Times New Roman"/>
        </w:rPr>
      </w:pPr>
      <w:r>
        <w:rPr>
          <w:rFonts w:eastAsia="Times New Roman"/>
        </w:rPr>
        <w:pict>
          <v:rect id="_x0000_i1038" style="width:0;height:1.5pt" o:hralign="center" o:hrstd="t" o:hr="t" fillcolor="#a0a0a0" stroked="f"/>
        </w:pict>
      </w:r>
    </w:p>
    <w:p w:rsidR="00000000" w:rsidRDefault="00A749A6">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jc w:val="both"/>
        <w:divId w:val="445153130"/>
        <w:rPr>
          <w:rFonts w:eastAsia="Times New Roman"/>
          <w:sz w:val="20"/>
          <w:szCs w:val="20"/>
        </w:rPr>
      </w:pPr>
      <w:r>
        <w:rPr>
          <w:rFonts w:eastAsia="Times New Roman"/>
          <w:b/>
          <w:bCs/>
          <w:sz w:val="20"/>
          <w:szCs w:val="20"/>
        </w:rPr>
        <w:t>4</w:t>
      </w:r>
      <w:r>
        <w:rPr>
          <w:rFonts w:eastAsia="Times New Roman"/>
          <w:b/>
          <w:bCs/>
          <w:sz w:val="20"/>
          <w:szCs w:val="20"/>
        </w:rPr>
        <w:t>.</w:t>
      </w:r>
    </w:p>
    <w:p w:rsidR="00000000" w:rsidRDefault="00A749A6">
      <w:pPr>
        <w:jc w:val="both"/>
        <w:divId w:val="1084688285"/>
        <w:rPr>
          <w:rFonts w:eastAsia="Times New Roman"/>
          <w:sz w:val="20"/>
          <w:szCs w:val="20"/>
        </w:rPr>
      </w:pPr>
      <w:r>
        <w:rPr>
          <w:rFonts w:eastAsia="Times New Roman"/>
          <w:b/>
          <w:bCs/>
          <w:sz w:val="20"/>
          <w:szCs w:val="20"/>
        </w:rPr>
        <w:t>Investments in and Acquisitions and Dispositions of Businesse</w:t>
      </w:r>
      <w:r>
        <w:rPr>
          <w:rFonts w:eastAsia="Times New Roman"/>
          <w:b/>
          <w:bCs/>
          <w:sz w:val="20"/>
          <w:szCs w:val="20"/>
        </w:rPr>
        <w:t>s</w:t>
      </w:r>
    </w:p>
    <w:p w:rsidR="00000000" w:rsidRDefault="00A749A6">
      <w:pPr>
        <w:pStyle w:val="a3"/>
        <w:spacing w:before="240" w:beforeAutospacing="0" w:after="0" w:afterAutospacing="0"/>
        <w:jc w:val="both"/>
        <w:divId w:val="757099238"/>
        <w:rPr>
          <w:sz w:val="20"/>
          <w:szCs w:val="20"/>
        </w:rPr>
      </w:pPr>
      <w:r>
        <w:rPr>
          <w:sz w:val="20"/>
          <w:szCs w:val="20"/>
        </w:rPr>
        <w:t xml:space="preserve">On March 9, 2022, Suburban Renewables invested </w:t>
      </w:r>
      <w:r>
        <w:rPr>
          <w:sz w:val="20"/>
          <w:szCs w:val="20"/>
        </w:rPr>
        <w:t>$</w:t>
      </w:r>
      <w:r>
        <w:rPr>
          <w:sz w:val="20"/>
          <w:szCs w:val="20"/>
        </w:rPr>
        <w:t>30,00</w:t>
      </w:r>
      <w:r>
        <w:rPr>
          <w:sz w:val="20"/>
          <w:szCs w:val="20"/>
        </w:rPr>
        <w:t>0</w:t>
      </w:r>
      <w:r>
        <w:rPr>
          <w:sz w:val="20"/>
          <w:szCs w:val="20"/>
        </w:rPr>
        <w:t>, plus direct transa</w:t>
      </w:r>
      <w:r>
        <w:rPr>
          <w:sz w:val="20"/>
          <w:szCs w:val="20"/>
        </w:rPr>
        <w:t>ction costs, in Independence Hydrogen, Inc. (“IH”), in exchange for a</w:t>
      </w:r>
      <w:r>
        <w:rPr>
          <w:sz w:val="20"/>
          <w:szCs w:val="20"/>
        </w:rPr>
        <w:t xml:space="preserve"> </w:t>
      </w:r>
      <w:r>
        <w:rPr>
          <w:sz w:val="20"/>
          <w:szCs w:val="20"/>
        </w:rPr>
        <w:t>2</w:t>
      </w:r>
      <w:r>
        <w:rPr>
          <w:sz w:val="20"/>
          <w:szCs w:val="20"/>
        </w:rPr>
        <w:t>5</w:t>
      </w:r>
      <w:r>
        <w:rPr>
          <w:sz w:val="20"/>
          <w:szCs w:val="20"/>
        </w:rPr>
        <w:t>% equity interest. IH is a veteran-owned and operated, privately held company developing a gaseous hydrogen ecosystem to deliver locally sourced hydrogen to local markets, with a prima</w:t>
      </w:r>
      <w:r>
        <w:rPr>
          <w:sz w:val="20"/>
          <w:szCs w:val="20"/>
        </w:rPr>
        <w:t>ry focus on material handling and backup power applications</w:t>
      </w:r>
      <w:r>
        <w:rPr>
          <w:sz w:val="20"/>
          <w:szCs w:val="20"/>
        </w:rPr>
        <w:t>.</w:t>
      </w:r>
      <w:r>
        <w:rPr>
          <w:sz w:val="20"/>
          <w:szCs w:val="20"/>
        </w:rPr>
        <w:t xml:space="preserve"> </w:t>
      </w:r>
    </w:p>
    <w:p w:rsidR="00000000" w:rsidRDefault="00A749A6">
      <w:pPr>
        <w:pStyle w:val="a3"/>
        <w:spacing w:before="240" w:beforeAutospacing="0" w:after="0" w:afterAutospacing="0"/>
        <w:jc w:val="both"/>
        <w:divId w:val="757099238"/>
        <w:rPr>
          <w:sz w:val="20"/>
          <w:szCs w:val="20"/>
        </w:rPr>
      </w:pPr>
      <w:r>
        <w:rPr>
          <w:sz w:val="20"/>
          <w:szCs w:val="20"/>
        </w:rPr>
        <w:t>The Operating Partnership also owns a</w:t>
      </w:r>
      <w:r>
        <w:rPr>
          <w:sz w:val="20"/>
          <w:szCs w:val="20"/>
        </w:rPr>
        <w:t xml:space="preserve"> </w:t>
      </w:r>
      <w:r>
        <w:rPr>
          <w:sz w:val="20"/>
          <w:szCs w:val="20"/>
        </w:rPr>
        <w:t>3</w:t>
      </w:r>
      <w:r>
        <w:rPr>
          <w:sz w:val="20"/>
          <w:szCs w:val="20"/>
        </w:rPr>
        <w:t>8</w:t>
      </w:r>
      <w:r>
        <w:rPr>
          <w:sz w:val="20"/>
          <w:szCs w:val="20"/>
        </w:rPr>
        <w:t xml:space="preserve">% equity stake in Oberon Fuels, Inc. (“Oberon”) based in San Diego, California and has also purchased certain secured convertible notes issued by Oberon. </w:t>
      </w:r>
      <w:r>
        <w:rPr>
          <w:sz w:val="20"/>
          <w:szCs w:val="20"/>
        </w:rPr>
        <w:t>Oberon, a development-stage producer of low carbon, renewable dimethyl ether (“rDME”) transportation fuel, is focused on the research and development of practical and affordable pathways to zero-emission transportation through its proprietary production pr</w:t>
      </w:r>
      <w:r>
        <w:rPr>
          <w:sz w:val="20"/>
          <w:szCs w:val="20"/>
        </w:rPr>
        <w:t>ocess. Oberon's rDME fuel is a cost-effective, low-carbon, zero-soot alternative to petroleum diesel, and when blended with propane can significantly reduce its carbon intensity. Additionally, rDME is a cost-effective carrier for hydrogen, making it easy t</w:t>
      </w:r>
      <w:r>
        <w:rPr>
          <w:sz w:val="20"/>
          <w:szCs w:val="20"/>
        </w:rPr>
        <w:t xml:space="preserve">o deliver this renewable fuel for the growing hydrogen fuel cell vehicle industry. Pursuant to the agreements, as amended, between the parties, the Operating Partnership also committed to provide additional funding to support continued development efforts </w:t>
      </w:r>
      <w:r>
        <w:rPr>
          <w:sz w:val="20"/>
          <w:szCs w:val="20"/>
        </w:rPr>
        <w:t>to commercialize a Propane+rDME blended product. During the first nine months of fiscal 2022, the Operating Partnership purchased three additional secured convertible notes issued by Oberon</w:t>
      </w:r>
      <w:r>
        <w:rPr>
          <w:sz w:val="20"/>
          <w:szCs w:val="20"/>
        </w:rPr>
        <w:t>.</w:t>
      </w:r>
      <w:r>
        <w:rPr>
          <w:sz w:val="20"/>
          <w:szCs w:val="20"/>
        </w:rPr>
        <w:t xml:space="preserve"> </w:t>
      </w:r>
    </w:p>
    <w:p w:rsidR="00000000" w:rsidRDefault="00A749A6">
      <w:pPr>
        <w:pStyle w:val="a3"/>
        <w:spacing w:before="240" w:beforeAutospacing="0" w:after="0" w:afterAutospacing="0"/>
        <w:jc w:val="both"/>
        <w:divId w:val="757099238"/>
        <w:rPr>
          <w:sz w:val="20"/>
          <w:szCs w:val="20"/>
        </w:rPr>
      </w:pPr>
      <w:r>
        <w:rPr>
          <w:sz w:val="20"/>
          <w:szCs w:val="20"/>
        </w:rPr>
        <w:t>The IH and Oberon investments were made in line with the Partner</w:t>
      </w:r>
      <w:r>
        <w:rPr>
          <w:sz w:val="20"/>
          <w:szCs w:val="20"/>
        </w:rPr>
        <w:t>ship’s</w:t>
      </w:r>
      <w:r>
        <w:rPr>
          <w:sz w:val="20"/>
          <w:szCs w:val="20"/>
        </w:rPr>
        <w:t xml:space="preserve"> </w:t>
      </w:r>
      <w:r>
        <w:rPr>
          <w:b/>
          <w:bCs/>
          <w:i/>
          <w:iCs/>
          <w:sz w:val="20"/>
          <w:szCs w:val="20"/>
        </w:rPr>
        <w:t>Go Green with Suburban Propan</w:t>
      </w:r>
      <w:r>
        <w:rPr>
          <w:b/>
          <w:bCs/>
          <w:i/>
          <w:iCs/>
          <w:sz w:val="20"/>
          <w:szCs w:val="20"/>
        </w:rPr>
        <w:t>e</w:t>
      </w:r>
      <w:r>
        <w:rPr>
          <w:sz w:val="20"/>
          <w:szCs w:val="20"/>
        </w:rPr>
        <w:t xml:space="preserve"> corporate pillar, which focuses on innovative solutions to reduce greenhouse gas emissions. These investments are being accounted for under the equity method of accounting and were included in “Other assets” within the</w:t>
      </w:r>
      <w:r>
        <w:rPr>
          <w:sz w:val="20"/>
          <w:szCs w:val="20"/>
        </w:rPr>
        <w:t xml:space="preserve"> condensed consolidated balance sheets, and the Partnership’s equity in Oberon’s and IH’s earnings were included in “Other, net” within the condensed consolidated statements of operations</w:t>
      </w:r>
      <w:r>
        <w:rPr>
          <w:sz w:val="20"/>
          <w:szCs w:val="20"/>
        </w:rPr>
        <w:t>.</w:t>
      </w:r>
    </w:p>
    <w:p w:rsidR="00000000" w:rsidRDefault="00A749A6">
      <w:pPr>
        <w:pStyle w:val="a3"/>
        <w:spacing w:before="240" w:beforeAutospacing="0" w:after="0" w:afterAutospacing="0"/>
        <w:jc w:val="both"/>
        <w:divId w:val="757099238"/>
        <w:rPr>
          <w:sz w:val="20"/>
          <w:szCs w:val="20"/>
        </w:rPr>
      </w:pPr>
      <w:r>
        <w:rPr>
          <w:sz w:val="20"/>
          <w:szCs w:val="20"/>
        </w:rPr>
        <w:t>On February 17, 2022, the Operating Partnership sold certain assets</w:t>
      </w:r>
      <w:r>
        <w:rPr>
          <w:sz w:val="20"/>
          <w:szCs w:val="20"/>
        </w:rPr>
        <w:t xml:space="preserve"> and operations in a non-strategic market of its propane segment for </w:t>
      </w:r>
      <w:r>
        <w:rPr>
          <w:sz w:val="20"/>
          <w:szCs w:val="20"/>
        </w:rPr>
        <w:t>$</w:t>
      </w:r>
      <w:r>
        <w:rPr>
          <w:sz w:val="20"/>
          <w:szCs w:val="20"/>
        </w:rPr>
        <w:t>85</w:t>
      </w:r>
      <w:r>
        <w:rPr>
          <w:sz w:val="20"/>
          <w:szCs w:val="20"/>
        </w:rPr>
        <w:t>0</w:t>
      </w:r>
      <w:r>
        <w:rPr>
          <w:sz w:val="20"/>
          <w:szCs w:val="20"/>
        </w:rPr>
        <w:t xml:space="preserve">, resulting in a gain of </w:t>
      </w:r>
      <w:r>
        <w:rPr>
          <w:sz w:val="20"/>
          <w:szCs w:val="20"/>
        </w:rPr>
        <w:t>$</w:t>
      </w:r>
      <w:r>
        <w:rPr>
          <w:sz w:val="20"/>
          <w:szCs w:val="20"/>
        </w:rPr>
        <w:t>36</w:t>
      </w:r>
      <w:r>
        <w:rPr>
          <w:sz w:val="20"/>
          <w:szCs w:val="20"/>
        </w:rPr>
        <w:t>3</w:t>
      </w:r>
      <w:r>
        <w:rPr>
          <w:sz w:val="20"/>
          <w:szCs w:val="20"/>
        </w:rPr>
        <w:t xml:space="preserve"> that was recognized during the second quarter of fiscal 2022. The corresponding net assets and results of operations were not material to the Partnership</w:t>
      </w:r>
      <w:r>
        <w:rPr>
          <w:sz w:val="20"/>
          <w:szCs w:val="20"/>
        </w:rPr>
        <w:t>’s condensed consolidated results of operations, financial position and cash flows</w:t>
      </w:r>
      <w:r>
        <w:rPr>
          <w:sz w:val="20"/>
          <w:szCs w:val="20"/>
        </w:rPr>
        <w:t>.</w:t>
      </w:r>
    </w:p>
    <w:p w:rsidR="00000000" w:rsidRDefault="00A749A6">
      <w:pPr>
        <w:pStyle w:val="a3"/>
        <w:spacing w:before="240" w:beforeAutospacing="0" w:after="0" w:afterAutospacing="0"/>
        <w:jc w:val="both"/>
        <w:divId w:val="757099238"/>
        <w:rPr>
          <w:sz w:val="20"/>
          <w:szCs w:val="20"/>
        </w:rPr>
      </w:pPr>
      <w:r>
        <w:rPr>
          <w:sz w:val="20"/>
          <w:szCs w:val="20"/>
        </w:rPr>
        <w:t xml:space="preserve">During the first quarter of fiscal 2022, the Operating Partnership acquired certain assets from a propane retailer for </w:t>
      </w:r>
      <w:r>
        <w:rPr>
          <w:sz w:val="20"/>
          <w:szCs w:val="20"/>
        </w:rPr>
        <w:t>$</w:t>
      </w:r>
      <w:r>
        <w:rPr>
          <w:sz w:val="20"/>
          <w:szCs w:val="20"/>
        </w:rPr>
        <w:t>50</w:t>
      </w:r>
      <w:r>
        <w:rPr>
          <w:sz w:val="20"/>
          <w:szCs w:val="20"/>
        </w:rPr>
        <w:t>0</w:t>
      </w:r>
      <w:r>
        <w:rPr>
          <w:sz w:val="20"/>
          <w:szCs w:val="20"/>
        </w:rPr>
        <w:t>, including non-compete consideration. During the</w:t>
      </w:r>
      <w:r>
        <w:rPr>
          <w:sz w:val="20"/>
          <w:szCs w:val="20"/>
        </w:rPr>
        <w:t xml:space="preserve"> third quarter of fiscal 2022, Suburban Renewables announced an agreement to construct, own and operate a new biodigester system with Adirondack Farms in Clinton County, New York for the production of renewable natural gas (“RNG”). Construction is expected</w:t>
      </w:r>
      <w:r>
        <w:rPr>
          <w:sz w:val="20"/>
          <w:szCs w:val="20"/>
        </w:rPr>
        <w:t xml:space="preserve"> to commence in the fourth quarter of fiscal 2022</w:t>
      </w:r>
      <w:r>
        <w:rPr>
          <w:sz w:val="20"/>
          <w:szCs w:val="20"/>
        </w:rPr>
        <w:t>.</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jc w:val="both"/>
        <w:divId w:val="1156068627"/>
        <w:rPr>
          <w:rFonts w:eastAsia="Times New Roman"/>
          <w:sz w:val="20"/>
          <w:szCs w:val="20"/>
        </w:rPr>
      </w:pPr>
      <w:r>
        <w:rPr>
          <w:rFonts w:eastAsia="Times New Roman"/>
          <w:b/>
          <w:bCs/>
          <w:sz w:val="20"/>
          <w:szCs w:val="20"/>
        </w:rPr>
        <w:t>5</w:t>
      </w:r>
      <w:r>
        <w:rPr>
          <w:rFonts w:eastAsia="Times New Roman"/>
          <w:b/>
          <w:bCs/>
          <w:sz w:val="20"/>
          <w:szCs w:val="20"/>
        </w:rPr>
        <w:t>.</w:t>
      </w:r>
    </w:p>
    <w:p w:rsidR="00000000" w:rsidRDefault="00A749A6">
      <w:pPr>
        <w:jc w:val="both"/>
        <w:divId w:val="275915633"/>
        <w:rPr>
          <w:rFonts w:eastAsia="Times New Roman"/>
          <w:sz w:val="20"/>
          <w:szCs w:val="20"/>
        </w:rPr>
      </w:pPr>
      <w:r>
        <w:rPr>
          <w:rFonts w:eastAsia="Times New Roman"/>
          <w:b/>
          <w:bCs/>
          <w:sz w:val="20"/>
          <w:szCs w:val="20"/>
        </w:rPr>
        <w:t>Financial Instruments and Risk Managemen</w:t>
      </w:r>
      <w:r>
        <w:rPr>
          <w:rFonts w:eastAsia="Times New Roman"/>
          <w:b/>
          <w:bCs/>
          <w:sz w:val="20"/>
          <w:szCs w:val="20"/>
        </w:rPr>
        <w:t>t</w:t>
      </w:r>
    </w:p>
    <w:p w:rsidR="00000000" w:rsidRDefault="00A749A6">
      <w:pPr>
        <w:pStyle w:val="a3"/>
        <w:spacing w:before="120" w:beforeAutospacing="0" w:after="0" w:afterAutospacing="0"/>
        <w:jc w:val="both"/>
        <w:divId w:val="1027290905"/>
        <w:rPr>
          <w:sz w:val="20"/>
          <w:szCs w:val="20"/>
        </w:rPr>
      </w:pPr>
      <w:r>
        <w:rPr>
          <w:b/>
          <w:bCs/>
          <w:sz w:val="20"/>
          <w:szCs w:val="20"/>
        </w:rPr>
        <w:t>Cash and Cash Equivalents</w:t>
      </w:r>
      <w:r>
        <w:rPr>
          <w:b/>
          <w:bCs/>
          <w:sz w:val="20"/>
          <w:szCs w:val="20"/>
        </w:rPr>
        <w:t>.</w:t>
      </w:r>
      <w:r>
        <w:rPr>
          <w:sz w:val="20"/>
          <w:szCs w:val="20"/>
        </w:rPr>
        <w:t xml:space="preserve"> The Partnership considers all highly liquid instruments purchased with an original maturity of</w:t>
      </w:r>
      <w:r>
        <w:rPr>
          <w:sz w:val="20"/>
          <w:szCs w:val="20"/>
        </w:rPr>
        <w:t xml:space="preserve"> </w:t>
      </w:r>
      <w:r>
        <w:rPr>
          <w:sz w:val="20"/>
          <w:szCs w:val="20"/>
        </w:rPr>
        <w:t>three month</w:t>
      </w:r>
      <w:r>
        <w:rPr>
          <w:sz w:val="20"/>
          <w:szCs w:val="20"/>
        </w:rPr>
        <w:t>s</w:t>
      </w:r>
      <w:r>
        <w:rPr>
          <w:sz w:val="20"/>
          <w:szCs w:val="20"/>
        </w:rPr>
        <w:t xml:space="preserve"> or less to be cash equi</w:t>
      </w:r>
      <w:r>
        <w:rPr>
          <w:sz w:val="20"/>
          <w:szCs w:val="20"/>
        </w:rPr>
        <w:t>valents. The carrying amount approximates fair value because of the short-term maturity of these instruments</w:t>
      </w:r>
      <w:r>
        <w:rPr>
          <w:sz w:val="20"/>
          <w:szCs w:val="20"/>
        </w:rPr>
        <w:t>.</w:t>
      </w:r>
    </w:p>
    <w:p w:rsidR="00000000" w:rsidRDefault="00A749A6">
      <w:pPr>
        <w:pStyle w:val="a3"/>
        <w:spacing w:before="240" w:beforeAutospacing="0" w:after="0" w:afterAutospacing="0"/>
        <w:jc w:val="both"/>
        <w:divId w:val="1027290905"/>
        <w:rPr>
          <w:sz w:val="20"/>
          <w:szCs w:val="20"/>
        </w:rPr>
      </w:pPr>
      <w:r>
        <w:rPr>
          <w:b/>
          <w:bCs/>
          <w:sz w:val="20"/>
          <w:szCs w:val="20"/>
        </w:rPr>
        <w:t>Derivative Instruments and Hedging Activitie</w:t>
      </w:r>
      <w:r>
        <w:rPr>
          <w:b/>
          <w:bCs/>
          <w:sz w:val="20"/>
          <w:szCs w:val="20"/>
        </w:rPr>
        <w:t>s</w:t>
      </w:r>
    </w:p>
    <w:p w:rsidR="00000000" w:rsidRDefault="00A749A6">
      <w:pPr>
        <w:pStyle w:val="a3"/>
        <w:spacing w:before="120" w:beforeAutospacing="0" w:after="0" w:afterAutospacing="0"/>
        <w:jc w:val="both"/>
        <w:divId w:val="1027290905"/>
        <w:rPr>
          <w:sz w:val="20"/>
          <w:szCs w:val="20"/>
        </w:rPr>
      </w:pPr>
      <w:r>
        <w:rPr>
          <w:i/>
          <w:iCs/>
          <w:sz w:val="20"/>
          <w:szCs w:val="20"/>
        </w:rPr>
        <w:t>Commodity Price Ris</w:t>
      </w:r>
      <w:r>
        <w:rPr>
          <w:i/>
          <w:iCs/>
          <w:sz w:val="20"/>
          <w:szCs w:val="20"/>
        </w:rPr>
        <w:t>k</w:t>
      </w:r>
      <w:r>
        <w:rPr>
          <w:sz w:val="20"/>
          <w:szCs w:val="20"/>
        </w:rPr>
        <w:t>. Given the retail nature of its operations, the Partnership maintains a certain</w:t>
      </w:r>
      <w:r>
        <w:rPr>
          <w:sz w:val="20"/>
          <w:szCs w:val="20"/>
        </w:rPr>
        <w:t xml:space="preserve"> level of priced physical inventory to help ensure its field operations have adequate supply commensurate with the time of year. The Partnership’s strategy is to keep its physical inventory priced relatively close to market for its field operations. The Pa</w:t>
      </w:r>
      <w:r>
        <w:rPr>
          <w:sz w:val="20"/>
          <w:szCs w:val="20"/>
        </w:rPr>
        <w:t>rtnership enters into a combination of exchange-traded futures and option contracts and, in certain instances, over-the-counter options and swap contracts (collectively, “derivative instruments”) to hedge price risk associated with propane and fuel oil phy</w:t>
      </w:r>
      <w:r>
        <w:rPr>
          <w:sz w:val="20"/>
          <w:szCs w:val="20"/>
        </w:rPr>
        <w:t>sical inventories, as well as future purchases of propane or fuel oil used in its operations, and to help ensure adequate supply during periods of high demand. In addition, the Partnership sells propane and fuel oil to customers at fixed prices, and enters</w:t>
      </w:r>
      <w:r>
        <w:rPr>
          <w:sz w:val="20"/>
          <w:szCs w:val="20"/>
        </w:rPr>
        <w:t xml:space="preserve"> into derivative instruments to hedge a portion of its exposure to fluctuations in commodity prices as a result of selling the fixed price contracts. Under this risk management strategy, realized gains or losses on derivative instruments will typically off</w:t>
      </w:r>
      <w:r>
        <w:rPr>
          <w:sz w:val="20"/>
          <w:szCs w:val="20"/>
        </w:rPr>
        <w:t>set losses or gains on the physical inventory once the product is sold or delivered as it pertains to fixed price contracts. All of the Partnership’s derivative instruments are reported on the condensed consolidated balance sheet at their fair values. In a</w:t>
      </w:r>
      <w:r>
        <w:rPr>
          <w:sz w:val="20"/>
          <w:szCs w:val="20"/>
        </w:rPr>
        <w:t>ddition, in the course of normal operations, the Partnership routinely enters into contracts such as forward priced physical contracts for the purchase or sale of propane and fuel oil that qualify for and are designated as normal purchase or normal sale co</w:t>
      </w:r>
      <w:r>
        <w:rPr>
          <w:sz w:val="20"/>
          <w:szCs w:val="20"/>
        </w:rPr>
        <w:t>ntracts. Such contracts are exempted from the fair value accounting requirements and are accounted for at the time product is purchased or sold under the related contract. The Partnership does not use derivative instruments for speculative trading purposes</w:t>
      </w:r>
      <w:r>
        <w:rPr>
          <w:sz w:val="20"/>
          <w:szCs w:val="20"/>
        </w:rPr>
        <w:t xml:space="preserve">. Market risks associated with derivative instruments are monitored daily for compliance with the Partnership’s Hedging and Risk Management Policy which includes volume limits for open positions. Priced on-hand inventory is also reviewed and managed daily </w:t>
      </w:r>
      <w:r>
        <w:rPr>
          <w:sz w:val="20"/>
          <w:szCs w:val="20"/>
        </w:rPr>
        <w:t>as to exposures to changing market prices</w:t>
      </w:r>
      <w:r>
        <w:rPr>
          <w:sz w:val="20"/>
          <w:szCs w:val="20"/>
        </w:rPr>
        <w:t>.</w:t>
      </w:r>
    </w:p>
    <w:p w:rsidR="00000000" w:rsidRDefault="00A749A6">
      <w:pPr>
        <w:pStyle w:val="a3"/>
        <w:spacing w:before="240" w:beforeAutospacing="0" w:after="0" w:afterAutospacing="0"/>
        <w:jc w:val="both"/>
        <w:divId w:val="1027290905"/>
        <w:rPr>
          <w:sz w:val="20"/>
          <w:szCs w:val="20"/>
        </w:rPr>
      </w:pPr>
      <w:r>
        <w:rPr>
          <w:sz w:val="20"/>
          <w:szCs w:val="20"/>
        </w:rPr>
        <w:t>On the date that derivative instruments are entered into, other than those designated as normal purchases or normal sales, the Partnership makes a determination as to whether the derivative instrument qualifies fo</w:t>
      </w:r>
      <w:r>
        <w:rPr>
          <w:sz w:val="20"/>
          <w:szCs w:val="20"/>
        </w:rPr>
        <w:t>r designation as a hedge. Changes in the fair value of derivative instruments are recorded each period in current period earnings or other comprehensive income (“OCI”), depending on whether th</w:t>
      </w:r>
      <w:r>
        <w:rPr>
          <w:sz w:val="20"/>
          <w:szCs w:val="20"/>
        </w:rPr>
        <w:t>e</w:t>
      </w:r>
      <w:r>
        <w:rPr>
          <w:sz w:val="20"/>
          <w:szCs w:val="20"/>
        </w:rPr>
        <w:t xml:space="preserve"> </w:t>
      </w:r>
    </w:p>
    <w:p w:rsidR="00000000" w:rsidRDefault="00A749A6">
      <w:pPr>
        <w:pStyle w:val="a3"/>
        <w:spacing w:before="0" w:beforeAutospacing="0" w:after="0" w:afterAutospacing="0"/>
        <w:jc w:val="center"/>
        <w:divId w:val="1027290905"/>
        <w:rPr>
          <w:sz w:val="20"/>
          <w:szCs w:val="20"/>
        </w:rPr>
      </w:pPr>
      <w:r>
        <w:rPr>
          <w:sz w:val="20"/>
          <w:szCs w:val="20"/>
        </w:rPr>
        <w:t> </w:t>
      </w:r>
    </w:p>
    <w:p w:rsidR="00000000" w:rsidRDefault="00A749A6">
      <w:pPr>
        <w:pStyle w:val="a3"/>
        <w:spacing w:before="0" w:beforeAutospacing="0" w:after="0" w:afterAutospacing="0"/>
        <w:jc w:val="center"/>
        <w:divId w:val="1027290905"/>
        <w:rPr>
          <w:sz w:val="20"/>
          <w:szCs w:val="20"/>
        </w:rPr>
      </w:pPr>
      <w:r>
        <w:rPr>
          <w:sz w:val="20"/>
          <w:szCs w:val="20"/>
        </w:rPr>
        <w:t>1</w:t>
      </w:r>
      <w:r>
        <w:rPr>
          <w:sz w:val="20"/>
          <w:szCs w:val="20"/>
        </w:rPr>
        <w:t>1</w:t>
      </w:r>
    </w:p>
    <w:p w:rsidR="00000000" w:rsidRDefault="00A749A6">
      <w:pPr>
        <w:divId w:val="1027290905"/>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A749A6">
      <w:pPr>
        <w:pStyle w:val="a3"/>
        <w:spacing w:before="0" w:beforeAutospacing="0" w:after="0" w:afterAutospacing="0"/>
        <w:divId w:val="1027290905"/>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240" w:beforeAutospacing="0" w:after="0" w:afterAutospacing="0"/>
        <w:jc w:val="both"/>
        <w:divId w:val="1027290905"/>
        <w:rPr>
          <w:sz w:val="20"/>
          <w:szCs w:val="20"/>
        </w:rPr>
      </w:pPr>
      <w:r>
        <w:rPr>
          <w:sz w:val="20"/>
          <w:szCs w:val="20"/>
        </w:rPr>
        <w:t>derivative instrument is designated as a hedge and, if so, the type of hedge. For derivative instruments designated as cash flow hedges, the</w:t>
      </w:r>
      <w:r>
        <w:rPr>
          <w:sz w:val="20"/>
          <w:szCs w:val="20"/>
        </w:rPr>
        <w:t xml:space="preserve"> Partnership formally assesses, both at the hedge contract’s inception and on an ongoing basis, whether the hedge contract is highly effective in offsetting changes in cash flows of hedged items. Changes in the fair value of derivative instruments designat</w:t>
      </w:r>
      <w:r>
        <w:rPr>
          <w:sz w:val="20"/>
          <w:szCs w:val="20"/>
        </w:rPr>
        <w:t>ed as cash flow hedges are reported in OCI to the extent effective and reclassified into earnings during the same period in which the hedged item affects earnings. The mark-to-market gains or losses on ineffective portions of cash flow hedges are recognize</w:t>
      </w:r>
      <w:r>
        <w:rPr>
          <w:sz w:val="20"/>
          <w:szCs w:val="20"/>
        </w:rPr>
        <w:t>d in earnings immediately. Changes in the fair value of derivative instruments that are not designated as cash flow hedges, and that do not meet the normal purchase and normal sale exemption, are recorded within earnings as they occur. Cash flows associate</w:t>
      </w:r>
      <w:r>
        <w:rPr>
          <w:sz w:val="20"/>
          <w:szCs w:val="20"/>
        </w:rPr>
        <w:t>d with derivative instruments are reported as operating activities within the condensed consolidated statement of cash flows</w:t>
      </w:r>
      <w:r>
        <w:rPr>
          <w:sz w:val="20"/>
          <w:szCs w:val="20"/>
        </w:rPr>
        <w:t>.</w:t>
      </w:r>
    </w:p>
    <w:p w:rsidR="00000000" w:rsidRDefault="00A749A6">
      <w:pPr>
        <w:pStyle w:val="a3"/>
        <w:spacing w:before="240" w:beforeAutospacing="0" w:after="0" w:afterAutospacing="0"/>
        <w:jc w:val="both"/>
        <w:divId w:val="1027290905"/>
        <w:rPr>
          <w:sz w:val="20"/>
          <w:szCs w:val="20"/>
        </w:rPr>
      </w:pPr>
      <w:r>
        <w:rPr>
          <w:i/>
          <w:iCs/>
          <w:sz w:val="20"/>
          <w:szCs w:val="20"/>
        </w:rPr>
        <w:t>Interest Rate Ris</w:t>
      </w:r>
      <w:r>
        <w:rPr>
          <w:i/>
          <w:iCs/>
          <w:sz w:val="20"/>
          <w:szCs w:val="20"/>
        </w:rPr>
        <w:t>k</w:t>
      </w:r>
      <w:r>
        <w:rPr>
          <w:sz w:val="20"/>
          <w:szCs w:val="20"/>
        </w:rPr>
        <w:t>. A portion of the Partnership’s borrowings bear interest at prevailing interest rates based upon, at the Operat</w:t>
      </w:r>
      <w:r>
        <w:rPr>
          <w:sz w:val="20"/>
          <w:szCs w:val="20"/>
        </w:rPr>
        <w:t>ing Partnership’s option, LIBOR plus an applicable margin or the base rate, defined as the higher of the</w:t>
      </w:r>
      <w:r>
        <w:rPr>
          <w:sz w:val="20"/>
          <w:szCs w:val="20"/>
        </w:rPr>
        <w:t xml:space="preserve"> </w:t>
      </w:r>
      <w:r>
        <w:rPr>
          <w:sz w:val="20"/>
          <w:szCs w:val="20"/>
        </w:rPr>
        <w:t>Federal Funds Rat</w:t>
      </w:r>
      <w:r>
        <w:rPr>
          <w:sz w:val="20"/>
          <w:szCs w:val="20"/>
        </w:rPr>
        <w:t>e</w:t>
      </w:r>
      <w:r>
        <w:rPr>
          <w:sz w:val="20"/>
          <w:szCs w:val="20"/>
        </w:rPr>
        <w:t xml:space="preserve"> plus</w:t>
      </w:r>
      <w:r>
        <w:rPr>
          <w:sz w:val="20"/>
          <w:szCs w:val="20"/>
        </w:rPr>
        <w:t xml:space="preserve"> </w:t>
      </w:r>
      <w:r>
        <w:rPr>
          <w:sz w:val="20"/>
          <w:szCs w:val="20"/>
        </w:rPr>
        <w:t>½</w:t>
      </w:r>
      <w:r>
        <w:rPr>
          <w:sz w:val="20"/>
          <w:szCs w:val="20"/>
        </w:rPr>
        <w:t xml:space="preserve"> </w:t>
      </w:r>
      <w:r>
        <w:rPr>
          <w:sz w:val="20"/>
          <w:szCs w:val="20"/>
        </w:rPr>
        <w:t>of 1% or the agent bank’s prime rate, or</w:t>
      </w:r>
      <w:r>
        <w:rPr>
          <w:sz w:val="20"/>
          <w:szCs w:val="20"/>
        </w:rPr>
        <w:t xml:space="preserve"> </w:t>
      </w:r>
      <w:r>
        <w:rPr>
          <w:sz w:val="20"/>
          <w:szCs w:val="20"/>
        </w:rPr>
        <w:t>LIBO</w:t>
      </w:r>
      <w:r>
        <w:rPr>
          <w:sz w:val="20"/>
          <w:szCs w:val="20"/>
        </w:rPr>
        <w:t>R</w:t>
      </w:r>
      <w:r>
        <w:rPr>
          <w:sz w:val="20"/>
          <w:szCs w:val="20"/>
        </w:rPr>
        <w:t xml:space="preserve"> plus</w:t>
      </w:r>
      <w:r>
        <w:rPr>
          <w:sz w:val="20"/>
          <w:szCs w:val="20"/>
        </w:rPr>
        <w:t xml:space="preserve"> </w:t>
      </w:r>
      <w:r>
        <w:rPr>
          <w:sz w:val="20"/>
          <w:szCs w:val="20"/>
        </w:rPr>
        <w:t>1</w:t>
      </w:r>
      <w:r>
        <w:rPr>
          <w:sz w:val="20"/>
          <w:szCs w:val="20"/>
        </w:rPr>
        <w:t>%, plus the applicable margin. The applicable margin is dependent on the</w:t>
      </w:r>
      <w:r>
        <w:rPr>
          <w:sz w:val="20"/>
          <w:szCs w:val="20"/>
        </w:rPr>
        <w:t xml:space="preserve"> level of the Partnership’s total leverage (the ratio of total debt to income before deducting interest expense, income taxes, depreciation and amortization (“EBITDA”)). Therefore, the Partnership is subject to interest rate risk on the variable component </w:t>
      </w:r>
      <w:r>
        <w:rPr>
          <w:sz w:val="20"/>
          <w:szCs w:val="20"/>
        </w:rPr>
        <w:t>of the interest rate. From time to time, the Partnership manages part of its variable interest rate risk by entering into interest rate swap agreements. The Partnership did not enter into any interest rate swap agreements during the first nine months of fi</w:t>
      </w:r>
      <w:r>
        <w:rPr>
          <w:sz w:val="20"/>
          <w:szCs w:val="20"/>
        </w:rPr>
        <w:t>scal 2022 or in fiscal 2021</w:t>
      </w:r>
      <w:r>
        <w:rPr>
          <w:sz w:val="20"/>
          <w:szCs w:val="20"/>
        </w:rPr>
        <w:t>.</w:t>
      </w:r>
    </w:p>
    <w:p w:rsidR="00000000" w:rsidRDefault="00A749A6">
      <w:pPr>
        <w:pStyle w:val="a3"/>
        <w:spacing w:before="240" w:beforeAutospacing="0" w:after="0" w:afterAutospacing="0"/>
        <w:jc w:val="both"/>
        <w:divId w:val="1027290905"/>
        <w:rPr>
          <w:sz w:val="20"/>
          <w:szCs w:val="20"/>
        </w:rPr>
      </w:pPr>
      <w:r>
        <w:rPr>
          <w:i/>
          <w:iCs/>
          <w:sz w:val="20"/>
          <w:szCs w:val="20"/>
        </w:rPr>
        <w:t>Valuation of Derivative Instrument</w:t>
      </w:r>
      <w:r>
        <w:rPr>
          <w:i/>
          <w:iCs/>
          <w:sz w:val="20"/>
          <w:szCs w:val="20"/>
        </w:rPr>
        <w:t>s</w:t>
      </w:r>
      <w:r>
        <w:rPr>
          <w:sz w:val="20"/>
          <w:szCs w:val="20"/>
        </w:rPr>
        <w:t>. The Partnership measures the fair value of its exchange-traded options and futures contracts using quoted market prices found on the New York Mercantile Exchange (the “NYMEX”) (Level 1 input</w:t>
      </w:r>
      <w:r>
        <w:rPr>
          <w:sz w:val="20"/>
          <w:szCs w:val="20"/>
        </w:rPr>
        <w:t>s); the fair value of its swap contracts using quoted forward prices, and the fair value of its interest rate swaps using model-derived valuations driven by observable projected movements of the 3-month LIBOR (Level 2 inputs); and the fair value of its ove</w:t>
      </w:r>
      <w:r>
        <w:rPr>
          <w:sz w:val="20"/>
          <w:szCs w:val="20"/>
        </w:rPr>
        <w:t xml:space="preserve">r-the-counter options contracts using Level 3 inputs. The Partnership’s over-the-counter options contracts are valued based on an internal option model. The inputs utilized in the model are based on publicly available information as well as broker quotes. </w:t>
      </w:r>
      <w:r>
        <w:rPr>
          <w:sz w:val="20"/>
          <w:szCs w:val="20"/>
        </w:rPr>
        <w:t>The significant unobservable inputs used in the fair value measurements of the Partnership’s over-the-counter options contracts are interest rate and market volatility</w:t>
      </w:r>
      <w:r>
        <w:rPr>
          <w:sz w:val="20"/>
          <w:szCs w:val="20"/>
        </w:rPr>
        <w:t>.</w:t>
      </w:r>
    </w:p>
    <w:p w:rsidR="00000000" w:rsidRDefault="00A749A6">
      <w:pPr>
        <w:pStyle w:val="a3"/>
        <w:spacing w:before="240" w:beforeAutospacing="0" w:after="0" w:afterAutospacing="0"/>
        <w:jc w:val="both"/>
        <w:divId w:val="843858083"/>
        <w:rPr>
          <w:sz w:val="20"/>
          <w:szCs w:val="20"/>
        </w:rPr>
      </w:pPr>
      <w:r>
        <w:rPr>
          <w:sz w:val="20"/>
          <w:szCs w:val="20"/>
        </w:rPr>
        <w:t>The following summarizes the fair value of the Partnership’s derivative instruments and</w:t>
      </w:r>
      <w:r>
        <w:rPr>
          <w:sz w:val="20"/>
          <w:szCs w:val="20"/>
        </w:rPr>
        <w:t xml:space="preserve"> their location in the condensed consolidated balance sheets as of</w:t>
      </w:r>
      <w:r>
        <w:rPr>
          <w:sz w:val="20"/>
          <w:szCs w:val="20"/>
        </w:rPr>
        <w:t xml:space="preserve"> </w:t>
      </w:r>
      <w:r>
        <w:rPr>
          <w:sz w:val="20"/>
          <w:szCs w:val="20"/>
        </w:rPr>
        <w:t>June 25, 2022 and September 25, 2021, respectively</w:t>
      </w:r>
      <w:r>
        <w:rPr>
          <w:sz w:val="20"/>
          <w:szCs w:val="20"/>
        </w:rPr>
        <w:t>:</w:t>
      </w:r>
    </w:p>
    <w:p w:rsidR="00000000" w:rsidRDefault="00A749A6">
      <w:pPr>
        <w:pStyle w:val="a3"/>
        <w:spacing w:before="0" w:beforeAutospacing="0" w:after="0" w:afterAutospacing="0"/>
        <w:jc w:val="both"/>
        <w:divId w:val="843858083"/>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27"/>
        <w:gridCol w:w="138"/>
        <w:gridCol w:w="1496"/>
        <w:gridCol w:w="140"/>
        <w:gridCol w:w="160"/>
        <w:gridCol w:w="986"/>
        <w:gridCol w:w="110"/>
        <w:gridCol w:w="140"/>
        <w:gridCol w:w="1498"/>
        <w:gridCol w:w="140"/>
        <w:gridCol w:w="160"/>
        <w:gridCol w:w="986"/>
        <w:gridCol w:w="125"/>
      </w:tblGrid>
      <w:tr w:rsidR="00000000">
        <w:trPr>
          <w:divId w:val="843858083"/>
          <w:tblCellSpacing w:w="15" w:type="dxa"/>
        </w:trPr>
        <w:tc>
          <w:tcPr>
            <w:tcW w:w="1390" w:type="pct"/>
            <w:vAlign w:val="center"/>
            <w:hideMark/>
          </w:tcPr>
          <w:p w:rsidR="00000000" w:rsidRDefault="00A749A6">
            <w:pPr>
              <w:rPr>
                <w:sz w:val="20"/>
                <w:szCs w:val="20"/>
              </w:rPr>
            </w:pPr>
          </w:p>
        </w:tc>
        <w:tc>
          <w:tcPr>
            <w:tcW w:w="76" w:type="pct"/>
            <w:vAlign w:val="center"/>
            <w:hideMark/>
          </w:tcPr>
          <w:p w:rsidR="00000000" w:rsidRDefault="00A749A6">
            <w:pPr>
              <w:rPr>
                <w:rFonts w:eastAsia="Times New Roman"/>
                <w:sz w:val="20"/>
                <w:szCs w:val="20"/>
              </w:rPr>
            </w:pPr>
          </w:p>
        </w:tc>
        <w:tc>
          <w:tcPr>
            <w:tcW w:w="936" w:type="pct"/>
            <w:vAlign w:val="center"/>
            <w:hideMark/>
          </w:tcPr>
          <w:p w:rsidR="00000000" w:rsidRDefault="00A749A6">
            <w:pPr>
              <w:rPr>
                <w:rFonts w:eastAsia="Times New Roman"/>
                <w:sz w:val="20"/>
                <w:szCs w:val="20"/>
              </w:rPr>
            </w:pPr>
          </w:p>
        </w:tc>
        <w:tc>
          <w:tcPr>
            <w:tcW w:w="77"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13"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77" w:type="pct"/>
            <w:vAlign w:val="center"/>
            <w:hideMark/>
          </w:tcPr>
          <w:p w:rsidR="00000000" w:rsidRDefault="00A749A6">
            <w:pPr>
              <w:rPr>
                <w:rFonts w:eastAsia="Times New Roman"/>
                <w:sz w:val="20"/>
                <w:szCs w:val="20"/>
              </w:rPr>
            </w:pPr>
          </w:p>
        </w:tc>
        <w:tc>
          <w:tcPr>
            <w:tcW w:w="937" w:type="pct"/>
            <w:vAlign w:val="center"/>
            <w:hideMark/>
          </w:tcPr>
          <w:p w:rsidR="00000000" w:rsidRDefault="00A749A6">
            <w:pPr>
              <w:rPr>
                <w:rFonts w:eastAsia="Times New Roman"/>
                <w:sz w:val="20"/>
                <w:szCs w:val="20"/>
              </w:rPr>
            </w:pPr>
          </w:p>
        </w:tc>
        <w:tc>
          <w:tcPr>
            <w:tcW w:w="77"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13"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divId w:val="843858083"/>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4"/>
            <w:vAlign w:val="bottom"/>
            <w:hideMark/>
          </w:tcPr>
          <w:p w:rsidR="00000000" w:rsidRDefault="00A749A6">
            <w:pPr>
              <w:pStyle w:val="a3"/>
              <w:spacing w:before="0" w:beforeAutospacing="0" w:after="0" w:afterAutospacing="0"/>
              <w:jc w:val="center"/>
              <w:rPr>
                <w:sz w:val="16"/>
                <w:szCs w:val="16"/>
              </w:rPr>
            </w:pPr>
            <w:r>
              <w:rPr>
                <w:b/>
                <w:bCs/>
                <w:sz w:val="16"/>
                <w:szCs w:val="16"/>
              </w:rPr>
              <w:t>As of June 25, 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4"/>
            <w:vAlign w:val="bottom"/>
            <w:hideMark/>
          </w:tcPr>
          <w:p w:rsidR="00000000" w:rsidRDefault="00A749A6">
            <w:pPr>
              <w:pStyle w:val="a3"/>
              <w:spacing w:before="0" w:beforeAutospacing="0" w:after="0" w:afterAutospacing="0"/>
              <w:jc w:val="center"/>
              <w:rPr>
                <w:sz w:val="16"/>
                <w:szCs w:val="16"/>
              </w:rPr>
            </w:pPr>
            <w:r>
              <w:rPr>
                <w:b/>
                <w:bCs/>
                <w:sz w:val="16"/>
                <w:szCs w:val="16"/>
              </w:rPr>
              <w:t>As of September 25, 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843858083"/>
          <w:trHeight w:val="160"/>
          <w:tblCellSpacing w:w="15" w:type="dxa"/>
        </w:trPr>
        <w:tc>
          <w:tcPr>
            <w:tcW w:w="0" w:type="auto"/>
            <w:vAlign w:val="bottom"/>
            <w:hideMark/>
          </w:tcPr>
          <w:p w:rsidR="00000000" w:rsidRDefault="00A749A6">
            <w:pPr>
              <w:pStyle w:val="a3"/>
              <w:spacing w:before="0" w:beforeAutospacing="0" w:after="0" w:afterAutospacing="0"/>
              <w:rPr>
                <w:sz w:val="16"/>
                <w:szCs w:val="16"/>
              </w:rPr>
            </w:pPr>
            <w:r>
              <w:rPr>
                <w:b/>
                <w:bCs/>
                <w:sz w:val="16"/>
                <w:szCs w:val="16"/>
              </w:rPr>
              <w:t>Asset Derivative</w:t>
            </w:r>
            <w:r>
              <w:rPr>
                <w:b/>
                <w:bCs/>
                <w:sz w:val="16"/>
                <w:szCs w:val="16"/>
              </w:rPr>
              <w:t>s</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b/>
                <w:bCs/>
                <w:sz w:val="16"/>
                <w:szCs w:val="16"/>
              </w:rPr>
              <w:t>Locatio</w:t>
            </w:r>
            <w:r>
              <w:rPr>
                <w:b/>
                <w:bCs/>
                <w:sz w:val="16"/>
                <w:szCs w:val="16"/>
              </w:rPr>
              <w:t>n</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b/>
                <w:bCs/>
                <w:sz w:val="16"/>
                <w:szCs w:val="16"/>
              </w:rPr>
              <w:t>Locatio</w:t>
            </w:r>
            <w:r>
              <w:rPr>
                <w:b/>
                <w:bCs/>
                <w:sz w:val="16"/>
                <w:szCs w:val="16"/>
              </w:rPr>
              <w:t>n</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843858083"/>
          <w:trHeight w:val="200"/>
          <w:tblCellSpacing w:w="15" w:type="dxa"/>
        </w:trPr>
        <w:tc>
          <w:tcPr>
            <w:tcW w:w="0" w:type="auto"/>
            <w:vAlign w:val="bottom"/>
            <w:hideMark/>
          </w:tcPr>
          <w:p w:rsidR="00000000" w:rsidRDefault="00A749A6">
            <w:pPr>
              <w:pStyle w:val="a3"/>
              <w:spacing w:before="0" w:beforeAutospacing="0" w:after="0" w:afterAutospacing="0"/>
              <w:rPr>
                <w:sz w:val="20"/>
                <w:szCs w:val="20"/>
              </w:rPr>
            </w:pPr>
            <w:r>
              <w:rPr>
                <w:sz w:val="20"/>
                <w:szCs w:val="20"/>
              </w:rPr>
              <w:t>Derivatives not designated as</w:t>
            </w:r>
            <w:r>
              <w:rPr>
                <w:sz w:val="20"/>
                <w:szCs w:val="20"/>
              </w:rPr>
              <w:br/>
              <w:t>   hedging instruments</w:t>
            </w: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843858083"/>
          <w:trHeight w:val="200"/>
          <w:tblCellSpacing w:w="15" w:type="dxa"/>
        </w:trPr>
        <w:tc>
          <w:tcPr>
            <w:tcW w:w="0" w:type="auto"/>
            <w:vAlign w:val="bottom"/>
            <w:hideMark/>
          </w:tcPr>
          <w:p w:rsidR="00000000" w:rsidRDefault="00A749A6">
            <w:pPr>
              <w:pStyle w:val="a3"/>
              <w:spacing w:before="0" w:beforeAutospacing="0" w:after="0" w:afterAutospacing="0"/>
              <w:ind w:left="200"/>
              <w:rPr>
                <w:sz w:val="20"/>
                <w:szCs w:val="20"/>
              </w:rPr>
            </w:pPr>
            <w:r>
              <w:rPr>
                <w:sz w:val="20"/>
                <w:szCs w:val="20"/>
              </w:rPr>
              <w:t>Commodity-related derivative</w:t>
            </w:r>
            <w:r>
              <w:rPr>
                <w:sz w:val="20"/>
                <w:szCs w:val="20"/>
              </w:rPr>
              <w:t>s</w:t>
            </w:r>
          </w:p>
        </w:tc>
        <w:tc>
          <w:tcPr>
            <w:tcW w:w="0" w:type="auto"/>
            <w:vAlign w:val="bottom"/>
            <w:hideMark/>
          </w:tcPr>
          <w:p w:rsidR="00000000" w:rsidRDefault="00A749A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Other current asset</w:t>
            </w:r>
            <w:r>
              <w:rPr>
                <w:sz w:val="20"/>
                <w:szCs w:val="20"/>
              </w:rPr>
              <w:t>s</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49,99</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Other current asset</w:t>
            </w:r>
            <w:r>
              <w:rPr>
                <w:sz w:val="20"/>
                <w:szCs w:val="20"/>
              </w:rPr>
              <w:t>s</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53,01</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843858083"/>
          <w:trHeight w:val="200"/>
          <w:tblCellSpacing w:w="15" w:type="dxa"/>
        </w:trPr>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Other asset</w:t>
            </w:r>
            <w:r>
              <w:rPr>
                <w:sz w:val="20"/>
                <w:szCs w:val="20"/>
              </w:rPr>
              <w:t>s</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3,09</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Other asset</w:t>
            </w:r>
            <w:r>
              <w:rPr>
                <w:sz w:val="20"/>
                <w:szCs w:val="20"/>
              </w:rPr>
              <w:t>s</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1,81</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843858083"/>
          <w:trHeight w:val="200"/>
          <w:tblCellSpacing w:w="15" w:type="dxa"/>
        </w:trPr>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53,08</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54,83</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843858083"/>
          <w:tblCellSpacing w:w="15" w:type="dxa"/>
        </w:trPr>
        <w:tc>
          <w:tcPr>
            <w:tcW w:w="0" w:type="auto"/>
            <w:vAlign w:val="bottom"/>
            <w:hideMark/>
          </w:tcPr>
          <w:p w:rsidR="00000000" w:rsidRDefault="00A749A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843858083"/>
          <w:trHeight w:val="160"/>
          <w:tblCellSpacing w:w="15" w:type="dxa"/>
        </w:trPr>
        <w:tc>
          <w:tcPr>
            <w:tcW w:w="0" w:type="auto"/>
            <w:vAlign w:val="bottom"/>
            <w:hideMark/>
          </w:tcPr>
          <w:p w:rsidR="00000000" w:rsidRDefault="00A749A6">
            <w:pPr>
              <w:pStyle w:val="a3"/>
              <w:spacing w:before="0" w:beforeAutospacing="0" w:after="0" w:afterAutospacing="0"/>
              <w:rPr>
                <w:sz w:val="16"/>
                <w:szCs w:val="16"/>
              </w:rPr>
            </w:pPr>
            <w:r>
              <w:rPr>
                <w:b/>
                <w:bCs/>
                <w:sz w:val="16"/>
                <w:szCs w:val="16"/>
              </w:rPr>
              <w:t>Liability Derivative</w:t>
            </w:r>
            <w:r>
              <w:rPr>
                <w:b/>
                <w:bCs/>
                <w:sz w:val="16"/>
                <w:szCs w:val="16"/>
              </w:rPr>
              <w:t>s</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b/>
                <w:bCs/>
                <w:sz w:val="16"/>
                <w:szCs w:val="16"/>
              </w:rPr>
              <w:t>Locatio</w:t>
            </w:r>
            <w:r>
              <w:rPr>
                <w:b/>
                <w:bCs/>
                <w:sz w:val="16"/>
                <w:szCs w:val="16"/>
              </w:rPr>
              <w:t>n</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b/>
                <w:bCs/>
                <w:sz w:val="16"/>
                <w:szCs w:val="16"/>
              </w:rPr>
              <w:t>Locatio</w:t>
            </w:r>
            <w:r>
              <w:rPr>
                <w:b/>
                <w:bCs/>
                <w:sz w:val="16"/>
                <w:szCs w:val="16"/>
              </w:rPr>
              <w:t>n</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Fair Valu</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843858083"/>
          <w:trHeight w:val="200"/>
          <w:tblCellSpacing w:w="15" w:type="dxa"/>
        </w:trPr>
        <w:tc>
          <w:tcPr>
            <w:tcW w:w="0" w:type="auto"/>
            <w:vAlign w:val="bottom"/>
            <w:hideMark/>
          </w:tcPr>
          <w:p w:rsidR="00000000" w:rsidRDefault="00A749A6">
            <w:pPr>
              <w:pStyle w:val="a3"/>
              <w:spacing w:before="0" w:beforeAutospacing="0" w:after="0" w:afterAutospacing="0"/>
              <w:rPr>
                <w:sz w:val="20"/>
                <w:szCs w:val="20"/>
              </w:rPr>
            </w:pPr>
            <w:r>
              <w:rPr>
                <w:sz w:val="20"/>
                <w:szCs w:val="20"/>
              </w:rPr>
              <w:t>Derivatives not designated as</w:t>
            </w:r>
            <w:r>
              <w:rPr>
                <w:sz w:val="20"/>
                <w:szCs w:val="20"/>
              </w:rPr>
              <w:br/>
              <w:t>   hedging instruments</w:t>
            </w: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843858083"/>
          <w:trHeight w:val="200"/>
          <w:tblCellSpacing w:w="15" w:type="dxa"/>
        </w:trPr>
        <w:tc>
          <w:tcPr>
            <w:tcW w:w="0" w:type="auto"/>
            <w:vAlign w:val="bottom"/>
            <w:hideMark/>
          </w:tcPr>
          <w:p w:rsidR="00000000" w:rsidRDefault="00A749A6">
            <w:pPr>
              <w:pStyle w:val="a3"/>
              <w:spacing w:before="0" w:beforeAutospacing="0" w:after="0" w:afterAutospacing="0"/>
              <w:ind w:left="200"/>
              <w:rPr>
                <w:sz w:val="20"/>
                <w:szCs w:val="20"/>
              </w:rPr>
            </w:pPr>
            <w:r>
              <w:rPr>
                <w:sz w:val="20"/>
                <w:szCs w:val="20"/>
              </w:rPr>
              <w:t>Commodity-related derivative</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Other current liabilitie</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11,16</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Other current liabilitie</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8,71</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843858083"/>
          <w:trHeight w:val="200"/>
          <w:tblCellSpacing w:w="15" w:type="dxa"/>
        </w:trPr>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Other liabilitie</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1,48</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Other liabilitie</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1,63</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843858083"/>
          <w:trHeight w:val="200"/>
          <w:tblCellSpacing w:w="15" w:type="dxa"/>
        </w:trPr>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12,65</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10,34</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bl>
    <w:p w:rsidR="00000000" w:rsidRDefault="00A749A6">
      <w:pPr>
        <w:pStyle w:val="a3"/>
        <w:spacing w:before="0" w:beforeAutospacing="0" w:after="0" w:afterAutospacing="0"/>
        <w:jc w:val="both"/>
        <w:divId w:val="1027290905"/>
        <w:rPr>
          <w:sz w:val="20"/>
          <w:szCs w:val="20"/>
        </w:rPr>
      </w:pPr>
      <w:r>
        <w:rPr>
          <w:sz w:val="20"/>
          <w:szCs w:val="20"/>
        </w:rPr>
        <w:t> </w:t>
      </w:r>
    </w:p>
    <w:p w:rsidR="00000000" w:rsidRDefault="00A749A6">
      <w:pPr>
        <w:pStyle w:val="a3"/>
        <w:spacing w:before="40" w:beforeAutospacing="0" w:after="0" w:afterAutospacing="0"/>
        <w:jc w:val="both"/>
        <w:divId w:val="1061948160"/>
        <w:rPr>
          <w:sz w:val="20"/>
          <w:szCs w:val="20"/>
        </w:rPr>
      </w:pPr>
      <w:r>
        <w:rPr>
          <w:sz w:val="20"/>
          <w:szCs w:val="20"/>
        </w:rPr>
        <w:t>The following summarizes the reconciliation of the beginning and ending balances of assets and liabilities measured at fair value on a recurring basis using significant unobservable inputs</w:t>
      </w:r>
      <w:r>
        <w:rPr>
          <w:sz w:val="20"/>
          <w:szCs w:val="20"/>
        </w:rPr>
        <w:t>:</w:t>
      </w:r>
    </w:p>
    <w:p w:rsidR="00000000" w:rsidRDefault="00A749A6">
      <w:pPr>
        <w:pStyle w:val="a3"/>
        <w:spacing w:before="0" w:beforeAutospacing="0" w:after="0" w:afterAutospacing="0"/>
        <w:jc w:val="both"/>
        <w:divId w:val="106194816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78"/>
        <w:gridCol w:w="110"/>
        <w:gridCol w:w="160"/>
        <w:gridCol w:w="602"/>
        <w:gridCol w:w="127"/>
        <w:gridCol w:w="110"/>
        <w:gridCol w:w="161"/>
        <w:gridCol w:w="650"/>
        <w:gridCol w:w="127"/>
        <w:gridCol w:w="110"/>
        <w:gridCol w:w="160"/>
        <w:gridCol w:w="591"/>
        <w:gridCol w:w="110"/>
        <w:gridCol w:w="110"/>
        <w:gridCol w:w="161"/>
        <w:gridCol w:w="683"/>
        <w:gridCol w:w="125"/>
      </w:tblGrid>
      <w:tr w:rsidR="00000000">
        <w:trPr>
          <w:divId w:val="1061948160"/>
          <w:tblCellSpacing w:w="15" w:type="dxa"/>
        </w:trPr>
        <w:tc>
          <w:tcPr>
            <w:tcW w:w="2448" w:type="pct"/>
            <w:vAlign w:val="center"/>
            <w:hideMark/>
          </w:tcPr>
          <w:p w:rsidR="00000000" w:rsidRDefault="00A749A6">
            <w:pPr>
              <w:rPr>
                <w:sz w:val="20"/>
                <w:szCs w:val="20"/>
              </w:rPr>
            </w:pPr>
          </w:p>
        </w:tc>
        <w:tc>
          <w:tcPr>
            <w:tcW w:w="56"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59"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6"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82"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7"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63"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7"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1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divId w:val="1061948160"/>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A749A6">
            <w:pPr>
              <w:pStyle w:val="a3"/>
              <w:spacing w:before="0" w:beforeAutospacing="0" w:after="0" w:afterAutospacing="0"/>
              <w:jc w:val="center"/>
              <w:rPr>
                <w:sz w:val="16"/>
                <w:szCs w:val="16"/>
              </w:rPr>
            </w:pPr>
            <w:r>
              <w:rPr>
                <w:b/>
                <w:bCs/>
                <w:sz w:val="16"/>
                <w:szCs w:val="16"/>
              </w:rPr>
              <w:t xml:space="preserve">Fair Value Measurement Using Significant </w:t>
            </w:r>
            <w:r>
              <w:rPr>
                <w:b/>
                <w:bCs/>
                <w:sz w:val="16"/>
                <w:szCs w:val="16"/>
              </w:rPr>
              <w:br/>
              <w:t>Unobservable Inputs (Level 3</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1061948160"/>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Nine Months Ende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Nine Months Ende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1061948160"/>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June 25, 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June 26, 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1061948160"/>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Asset</w:t>
            </w:r>
            <w:r>
              <w:rPr>
                <w:b/>
                <w:bCs/>
                <w:sz w:val="16"/>
                <w:szCs w:val="16"/>
              </w:rPr>
              <w:t>s</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Liabilitie</w:t>
            </w:r>
            <w:r>
              <w:rPr>
                <w:b/>
                <w:bCs/>
                <w:sz w:val="16"/>
                <w:szCs w:val="16"/>
              </w:rPr>
              <w:t>s</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Asset</w:t>
            </w:r>
            <w:r>
              <w:rPr>
                <w:b/>
                <w:bCs/>
                <w:sz w:val="16"/>
                <w:szCs w:val="16"/>
              </w:rPr>
              <w:t>s</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Liabilitie</w:t>
            </w:r>
            <w:r>
              <w:rPr>
                <w:b/>
                <w:bCs/>
                <w:sz w:val="16"/>
                <w:szCs w:val="16"/>
              </w:rPr>
              <w:t>s</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1061948160"/>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Beginning balance of over-the-counter option</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4,62</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45</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1061948160"/>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Beginning balance realized during the perio</w:t>
            </w:r>
            <w:r>
              <w:rPr>
                <w:sz w:val="20"/>
                <w:szCs w:val="20"/>
              </w:rPr>
              <w:t>d</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4,62</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7</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1061948160"/>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Contracts purchased during the perio</w:t>
            </w:r>
            <w:r>
              <w:rPr>
                <w:sz w:val="20"/>
                <w:szCs w:val="20"/>
              </w:rPr>
              <w:t>d</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65</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2,37</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2,67</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18</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1061948160"/>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Change in the fair value of outstanding contract</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28</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1061948160"/>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Ending balance of over-the-counter option</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65</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2,47</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2,67</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18</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bl>
    <w:p w:rsidR="00000000" w:rsidRDefault="00A749A6">
      <w:pPr>
        <w:pStyle w:val="a3"/>
        <w:spacing w:before="0" w:beforeAutospacing="0" w:after="0" w:afterAutospacing="0"/>
        <w:jc w:val="both"/>
        <w:divId w:val="1027290905"/>
        <w:rPr>
          <w:sz w:val="20"/>
          <w:szCs w:val="20"/>
        </w:rPr>
      </w:pPr>
      <w:r>
        <w:rPr>
          <w:sz w:val="20"/>
          <w:szCs w:val="20"/>
        </w:rPr>
        <w:t> </w:t>
      </w:r>
    </w:p>
    <w:p w:rsidR="00000000" w:rsidRDefault="00A749A6">
      <w:pPr>
        <w:pStyle w:val="a3"/>
        <w:spacing w:before="0" w:beforeAutospacing="0" w:after="0" w:afterAutospacing="0"/>
        <w:jc w:val="center"/>
        <w:divId w:val="1027290905"/>
        <w:rPr>
          <w:sz w:val="20"/>
          <w:szCs w:val="20"/>
        </w:rPr>
      </w:pPr>
      <w:r>
        <w:rPr>
          <w:sz w:val="20"/>
          <w:szCs w:val="20"/>
        </w:rPr>
        <w:t> </w:t>
      </w:r>
    </w:p>
    <w:p w:rsidR="00000000" w:rsidRDefault="00A749A6">
      <w:pPr>
        <w:pStyle w:val="a3"/>
        <w:spacing w:before="0" w:beforeAutospacing="0" w:after="0" w:afterAutospacing="0"/>
        <w:jc w:val="center"/>
        <w:divId w:val="1027290905"/>
        <w:rPr>
          <w:sz w:val="20"/>
          <w:szCs w:val="20"/>
        </w:rPr>
      </w:pPr>
      <w:r>
        <w:rPr>
          <w:sz w:val="20"/>
          <w:szCs w:val="20"/>
        </w:rPr>
        <w:t>1</w:t>
      </w:r>
      <w:r>
        <w:rPr>
          <w:sz w:val="20"/>
          <w:szCs w:val="20"/>
        </w:rPr>
        <w:t>2</w:t>
      </w:r>
    </w:p>
    <w:p w:rsidR="00000000" w:rsidRDefault="00A749A6">
      <w:pPr>
        <w:divId w:val="1027290905"/>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A749A6">
      <w:pPr>
        <w:pStyle w:val="a3"/>
        <w:spacing w:before="0" w:beforeAutospacing="0" w:after="0" w:afterAutospacing="0"/>
        <w:divId w:val="1027290905"/>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40" w:beforeAutospacing="0" w:after="0" w:afterAutospacing="0"/>
        <w:jc w:val="both"/>
        <w:divId w:val="1027290905"/>
        <w:rPr>
          <w:sz w:val="20"/>
          <w:szCs w:val="20"/>
        </w:rPr>
      </w:pPr>
      <w:r>
        <w:rPr>
          <w:sz w:val="20"/>
          <w:szCs w:val="20"/>
        </w:rPr>
        <w:t>As of June 25, 2022 and September 25, 202</w:t>
      </w:r>
      <w:r>
        <w:rPr>
          <w:sz w:val="20"/>
          <w:szCs w:val="20"/>
        </w:rPr>
        <w:t>1</w:t>
      </w:r>
      <w:r>
        <w:rPr>
          <w:sz w:val="20"/>
          <w:szCs w:val="20"/>
        </w:rPr>
        <w:t>, the Partnership’</w:t>
      </w:r>
      <w:r>
        <w:rPr>
          <w:sz w:val="20"/>
          <w:szCs w:val="20"/>
        </w:rPr>
        <w:t>s outstanding commodity-related derivatives had a weighted average maturity of approximatel</w:t>
      </w:r>
      <w:r>
        <w:rPr>
          <w:sz w:val="20"/>
          <w:szCs w:val="20"/>
        </w:rPr>
        <w:t>y</w:t>
      </w:r>
      <w:r>
        <w:rPr>
          <w:sz w:val="20"/>
          <w:szCs w:val="20"/>
        </w:rPr>
        <w:t xml:space="preserve"> </w:t>
      </w:r>
      <w:r>
        <w:rPr>
          <w:sz w:val="20"/>
          <w:szCs w:val="20"/>
        </w:rPr>
        <w:t>nin</w:t>
      </w:r>
      <w:r>
        <w:rPr>
          <w:sz w:val="20"/>
          <w:szCs w:val="20"/>
        </w:rPr>
        <w:t>e</w:t>
      </w:r>
      <w:r>
        <w:rPr>
          <w:sz w:val="20"/>
          <w:szCs w:val="20"/>
        </w:rPr>
        <w:t xml:space="preserve"> and</w:t>
      </w:r>
      <w:r>
        <w:rPr>
          <w:sz w:val="20"/>
          <w:szCs w:val="20"/>
        </w:rPr>
        <w:t xml:space="preserve"> </w:t>
      </w:r>
      <w:r>
        <w:rPr>
          <w:sz w:val="20"/>
          <w:szCs w:val="20"/>
        </w:rPr>
        <w:t>fou</w:t>
      </w:r>
      <w:r>
        <w:rPr>
          <w:sz w:val="20"/>
          <w:szCs w:val="20"/>
        </w:rPr>
        <w:t>r</w:t>
      </w:r>
      <w:r>
        <w:rPr>
          <w:sz w:val="20"/>
          <w:szCs w:val="20"/>
        </w:rPr>
        <w:t xml:space="preserve"> month</w:t>
      </w:r>
      <w:r>
        <w:rPr>
          <w:sz w:val="20"/>
          <w:szCs w:val="20"/>
        </w:rPr>
        <w:t>s</w:t>
      </w:r>
      <w:r>
        <w:rPr>
          <w:sz w:val="20"/>
          <w:szCs w:val="20"/>
        </w:rPr>
        <w:t>, respectively</w:t>
      </w:r>
      <w:r>
        <w:rPr>
          <w:sz w:val="20"/>
          <w:szCs w:val="20"/>
        </w:rPr>
        <w:t>.</w:t>
      </w:r>
    </w:p>
    <w:p w:rsidR="00000000" w:rsidRDefault="00A749A6">
      <w:pPr>
        <w:pStyle w:val="a3"/>
        <w:spacing w:before="240" w:beforeAutospacing="0" w:after="0" w:afterAutospacing="0"/>
        <w:jc w:val="both"/>
        <w:divId w:val="1739404810"/>
        <w:rPr>
          <w:sz w:val="20"/>
          <w:szCs w:val="20"/>
        </w:rPr>
      </w:pPr>
      <w:r>
        <w:rPr>
          <w:sz w:val="20"/>
          <w:szCs w:val="20"/>
        </w:rPr>
        <w:t>The effect of the Partnership’s derivative instruments on the condensed consolidated statements of operations for the</w:t>
      </w:r>
      <w:r>
        <w:rPr>
          <w:sz w:val="20"/>
          <w:szCs w:val="20"/>
        </w:rPr>
        <w:t xml:space="preserve"> </w:t>
      </w:r>
      <w:r>
        <w:rPr>
          <w:sz w:val="20"/>
          <w:szCs w:val="20"/>
        </w:rPr>
        <w:t>three and</w:t>
      </w:r>
      <w:r>
        <w:rPr>
          <w:sz w:val="20"/>
          <w:szCs w:val="20"/>
        </w:rPr>
        <w:t xml:space="preserve"> nine months ended June 25, 2022 and June 26, 2021 are as follows</w:t>
      </w:r>
      <w:r>
        <w:rPr>
          <w:sz w:val="20"/>
          <w:szCs w:val="20"/>
        </w:rPr>
        <w:t>:</w:t>
      </w:r>
    </w:p>
    <w:p w:rsidR="00000000" w:rsidRDefault="00A749A6">
      <w:pPr>
        <w:pStyle w:val="a3"/>
        <w:spacing w:before="0" w:beforeAutospacing="0" w:after="0" w:afterAutospacing="0"/>
        <w:jc w:val="both"/>
        <w:divId w:val="173940481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03"/>
        <w:gridCol w:w="136"/>
        <w:gridCol w:w="1481"/>
        <w:gridCol w:w="136"/>
        <w:gridCol w:w="161"/>
        <w:gridCol w:w="1018"/>
        <w:gridCol w:w="127"/>
        <w:gridCol w:w="136"/>
        <w:gridCol w:w="1482"/>
        <w:gridCol w:w="137"/>
        <w:gridCol w:w="160"/>
        <w:gridCol w:w="1004"/>
        <w:gridCol w:w="125"/>
      </w:tblGrid>
      <w:tr w:rsidR="00000000">
        <w:trPr>
          <w:divId w:val="1739404810"/>
          <w:tblCellSpacing w:w="15" w:type="dxa"/>
        </w:trPr>
        <w:tc>
          <w:tcPr>
            <w:tcW w:w="1376" w:type="pct"/>
            <w:vAlign w:val="center"/>
            <w:hideMark/>
          </w:tcPr>
          <w:p w:rsidR="00000000" w:rsidRDefault="00A749A6">
            <w:pPr>
              <w:rPr>
                <w:sz w:val="20"/>
                <w:szCs w:val="20"/>
              </w:rPr>
            </w:pPr>
          </w:p>
        </w:tc>
        <w:tc>
          <w:tcPr>
            <w:tcW w:w="76" w:type="pct"/>
            <w:vAlign w:val="center"/>
            <w:hideMark/>
          </w:tcPr>
          <w:p w:rsidR="00000000" w:rsidRDefault="00A749A6">
            <w:pPr>
              <w:rPr>
                <w:rFonts w:eastAsia="Times New Roman"/>
                <w:sz w:val="20"/>
                <w:szCs w:val="20"/>
              </w:rPr>
            </w:pPr>
          </w:p>
        </w:tc>
        <w:tc>
          <w:tcPr>
            <w:tcW w:w="928" w:type="pct"/>
            <w:vAlign w:val="center"/>
            <w:hideMark/>
          </w:tcPr>
          <w:p w:rsidR="00000000" w:rsidRDefault="00A749A6">
            <w:pPr>
              <w:rPr>
                <w:rFonts w:eastAsia="Times New Roman"/>
                <w:sz w:val="20"/>
                <w:szCs w:val="20"/>
              </w:rPr>
            </w:pPr>
          </w:p>
        </w:tc>
        <w:tc>
          <w:tcPr>
            <w:tcW w:w="76"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34"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76" w:type="pct"/>
            <w:vAlign w:val="center"/>
            <w:hideMark/>
          </w:tcPr>
          <w:p w:rsidR="00000000" w:rsidRDefault="00A749A6">
            <w:pPr>
              <w:rPr>
                <w:rFonts w:eastAsia="Times New Roman"/>
                <w:sz w:val="20"/>
                <w:szCs w:val="20"/>
              </w:rPr>
            </w:pPr>
          </w:p>
        </w:tc>
        <w:tc>
          <w:tcPr>
            <w:tcW w:w="928" w:type="pct"/>
            <w:vAlign w:val="center"/>
            <w:hideMark/>
          </w:tcPr>
          <w:p w:rsidR="00000000" w:rsidRDefault="00A749A6">
            <w:pPr>
              <w:rPr>
                <w:rFonts w:eastAsia="Times New Roman"/>
                <w:sz w:val="20"/>
                <w:szCs w:val="20"/>
              </w:rPr>
            </w:pPr>
          </w:p>
        </w:tc>
        <w:tc>
          <w:tcPr>
            <w:tcW w:w="76"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25"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divId w:val="1739404810"/>
          <w:trHeight w:val="160"/>
          <w:tblCellSpacing w:w="15" w:type="dxa"/>
        </w:trPr>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4"/>
            <w:vAlign w:val="bottom"/>
            <w:hideMark/>
          </w:tcPr>
          <w:p w:rsidR="00000000" w:rsidRDefault="00A749A6">
            <w:pPr>
              <w:pStyle w:val="a3"/>
              <w:spacing w:before="0" w:beforeAutospacing="0" w:after="0" w:afterAutospacing="0"/>
              <w:jc w:val="center"/>
              <w:rPr>
                <w:sz w:val="16"/>
                <w:szCs w:val="16"/>
              </w:rPr>
            </w:pPr>
            <w:r>
              <w:rPr>
                <w:b/>
                <w:bCs/>
                <w:sz w:val="16"/>
                <w:szCs w:val="16"/>
              </w:rPr>
              <w:t>Three Months Ended June 25, 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4"/>
            <w:vAlign w:val="bottom"/>
            <w:hideMark/>
          </w:tcPr>
          <w:p w:rsidR="00000000" w:rsidRDefault="00A749A6">
            <w:pPr>
              <w:pStyle w:val="a3"/>
              <w:spacing w:before="0" w:beforeAutospacing="0" w:after="0" w:afterAutospacing="0"/>
              <w:jc w:val="center"/>
              <w:rPr>
                <w:sz w:val="16"/>
                <w:szCs w:val="16"/>
              </w:rPr>
            </w:pPr>
            <w:r>
              <w:rPr>
                <w:b/>
                <w:bCs/>
                <w:sz w:val="16"/>
                <w:szCs w:val="16"/>
              </w:rPr>
              <w:t>Three Months Ended June 26, 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1739404810"/>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b/>
                <w:bCs/>
                <w:sz w:val="16"/>
                <w:szCs w:val="16"/>
              </w:rPr>
              <w:t xml:space="preserve">Derivatives Not Designated </w:t>
            </w:r>
            <w:r>
              <w:rPr>
                <w:b/>
                <w:bCs/>
                <w:sz w:val="16"/>
                <w:szCs w:val="16"/>
              </w:rPr>
              <w:br/>
              <w:t>as Hedging Instrument</w:t>
            </w:r>
            <w:r>
              <w:rPr>
                <w:b/>
                <w:bCs/>
                <w:sz w:val="16"/>
                <w:szCs w:val="16"/>
              </w:rPr>
              <w:t>s</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4"/>
            <w:vAlign w:val="bottom"/>
            <w:hideMark/>
          </w:tcPr>
          <w:p w:rsidR="00000000" w:rsidRDefault="00A749A6">
            <w:pPr>
              <w:pStyle w:val="a3"/>
              <w:spacing w:before="0" w:beforeAutospacing="0" w:after="0" w:afterAutospacing="0"/>
              <w:jc w:val="center"/>
              <w:rPr>
                <w:sz w:val="16"/>
                <w:szCs w:val="16"/>
              </w:rPr>
            </w:pPr>
            <w:r>
              <w:rPr>
                <w:b/>
                <w:bCs/>
                <w:sz w:val="16"/>
                <w:szCs w:val="16"/>
              </w:rPr>
              <w:t>Unrealized Gains (Losses)</w:t>
            </w:r>
            <w:r>
              <w:rPr>
                <w:b/>
                <w:bCs/>
                <w:sz w:val="16"/>
                <w:szCs w:val="16"/>
              </w:rPr>
              <w:br/>
              <w:t> Recognized in Incom</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4"/>
            <w:vAlign w:val="bottom"/>
            <w:hideMark/>
          </w:tcPr>
          <w:p w:rsidR="00000000" w:rsidRDefault="00A749A6">
            <w:pPr>
              <w:pStyle w:val="a3"/>
              <w:spacing w:before="0" w:beforeAutospacing="0" w:after="0" w:afterAutospacing="0"/>
              <w:jc w:val="center"/>
              <w:rPr>
                <w:sz w:val="16"/>
                <w:szCs w:val="16"/>
              </w:rPr>
            </w:pPr>
            <w:r>
              <w:rPr>
                <w:b/>
                <w:bCs/>
                <w:sz w:val="16"/>
                <w:szCs w:val="16"/>
              </w:rPr>
              <w:t xml:space="preserve">Unrealized Gains (Losses) </w:t>
            </w:r>
            <w:r>
              <w:rPr>
                <w:b/>
                <w:bCs/>
                <w:sz w:val="16"/>
                <w:szCs w:val="16"/>
              </w:rPr>
              <w:br/>
              <w:t>Recognized in Incom</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1739404810"/>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b/>
                <w:bCs/>
                <w:sz w:val="16"/>
                <w:szCs w:val="16"/>
              </w:rPr>
              <w:t>Locatio</w:t>
            </w:r>
            <w:r>
              <w:rPr>
                <w:b/>
                <w:bCs/>
                <w:sz w:val="16"/>
                <w:szCs w:val="16"/>
              </w:rPr>
              <w:t>n</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b/>
                <w:bCs/>
                <w:sz w:val="16"/>
                <w:szCs w:val="16"/>
              </w:rPr>
              <w:t>Locatio</w:t>
            </w:r>
            <w:r>
              <w:rPr>
                <w:b/>
                <w:bCs/>
                <w:sz w:val="16"/>
                <w:szCs w:val="16"/>
              </w:rPr>
              <w:t>n</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1739404810"/>
          <w:trHeight w:val="200"/>
          <w:tblCellSpacing w:w="15" w:type="dxa"/>
        </w:trPr>
        <w:tc>
          <w:tcPr>
            <w:tcW w:w="0" w:type="auto"/>
            <w:vAlign w:val="bottom"/>
            <w:hideMark/>
          </w:tcPr>
          <w:p w:rsidR="00000000" w:rsidRDefault="00A749A6">
            <w:pPr>
              <w:pStyle w:val="a3"/>
              <w:spacing w:before="0" w:beforeAutospacing="0" w:after="0" w:afterAutospacing="0"/>
              <w:rPr>
                <w:sz w:val="20"/>
                <w:szCs w:val="20"/>
              </w:rPr>
            </w:pPr>
            <w:r>
              <w:rPr>
                <w:sz w:val="20"/>
                <w:szCs w:val="20"/>
              </w:rPr>
              <w:t>Commodity-related derivative</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center"/>
              <w:rPr>
                <w:sz w:val="20"/>
                <w:szCs w:val="20"/>
              </w:rPr>
            </w:pPr>
            <w:r>
              <w:rPr>
                <w:sz w:val="20"/>
                <w:szCs w:val="20"/>
              </w:rPr>
              <w:t>Cost of products sol</w:t>
            </w:r>
            <w:r>
              <w:rPr>
                <w:sz w:val="20"/>
                <w:szCs w:val="20"/>
              </w:rPr>
              <w:t>d</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92</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center"/>
              <w:rPr>
                <w:sz w:val="20"/>
                <w:szCs w:val="20"/>
              </w:rPr>
            </w:pPr>
            <w:r>
              <w:rPr>
                <w:sz w:val="20"/>
                <w:szCs w:val="20"/>
              </w:rPr>
              <w:t>Cost of products sol</w:t>
            </w:r>
            <w:r>
              <w:rPr>
                <w:sz w:val="20"/>
                <w:szCs w:val="20"/>
              </w:rPr>
              <w:t>d</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11,13</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bl>
    <w:p w:rsidR="00000000" w:rsidRDefault="00A749A6">
      <w:pPr>
        <w:pStyle w:val="a3"/>
        <w:spacing w:before="0" w:beforeAutospacing="0" w:after="0" w:afterAutospacing="0"/>
        <w:jc w:val="both"/>
        <w:divId w:val="173940481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15"/>
        <w:gridCol w:w="134"/>
        <w:gridCol w:w="1489"/>
        <w:gridCol w:w="135"/>
        <w:gridCol w:w="160"/>
        <w:gridCol w:w="995"/>
        <w:gridCol w:w="127"/>
        <w:gridCol w:w="135"/>
        <w:gridCol w:w="1490"/>
        <w:gridCol w:w="135"/>
        <w:gridCol w:w="160"/>
        <w:gridCol w:w="1006"/>
        <w:gridCol w:w="125"/>
      </w:tblGrid>
      <w:tr w:rsidR="00000000">
        <w:trPr>
          <w:divId w:val="1739404810"/>
          <w:tblCellSpacing w:w="15" w:type="dxa"/>
        </w:trPr>
        <w:tc>
          <w:tcPr>
            <w:tcW w:w="1384" w:type="pct"/>
            <w:vAlign w:val="center"/>
            <w:hideMark/>
          </w:tcPr>
          <w:p w:rsidR="00000000" w:rsidRDefault="00A749A6">
            <w:pPr>
              <w:rPr>
                <w:sz w:val="20"/>
                <w:szCs w:val="20"/>
              </w:rPr>
            </w:pPr>
          </w:p>
        </w:tc>
        <w:tc>
          <w:tcPr>
            <w:tcW w:w="75" w:type="pct"/>
            <w:vAlign w:val="center"/>
            <w:hideMark/>
          </w:tcPr>
          <w:p w:rsidR="00000000" w:rsidRDefault="00A749A6">
            <w:pPr>
              <w:rPr>
                <w:rFonts w:eastAsia="Times New Roman"/>
                <w:sz w:val="20"/>
                <w:szCs w:val="20"/>
              </w:rPr>
            </w:pPr>
          </w:p>
        </w:tc>
        <w:tc>
          <w:tcPr>
            <w:tcW w:w="933" w:type="pct"/>
            <w:vAlign w:val="center"/>
            <w:hideMark/>
          </w:tcPr>
          <w:p w:rsidR="00000000" w:rsidRDefault="00A749A6">
            <w:pPr>
              <w:rPr>
                <w:rFonts w:eastAsia="Times New Roman"/>
                <w:sz w:val="20"/>
                <w:szCs w:val="20"/>
              </w:rPr>
            </w:pPr>
          </w:p>
        </w:tc>
        <w:tc>
          <w:tcPr>
            <w:tcW w:w="75"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2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75" w:type="pct"/>
            <w:vAlign w:val="center"/>
            <w:hideMark/>
          </w:tcPr>
          <w:p w:rsidR="00000000" w:rsidRDefault="00A749A6">
            <w:pPr>
              <w:rPr>
                <w:rFonts w:eastAsia="Times New Roman"/>
                <w:sz w:val="20"/>
                <w:szCs w:val="20"/>
              </w:rPr>
            </w:pPr>
          </w:p>
        </w:tc>
        <w:tc>
          <w:tcPr>
            <w:tcW w:w="933" w:type="pct"/>
            <w:vAlign w:val="center"/>
            <w:hideMark/>
          </w:tcPr>
          <w:p w:rsidR="00000000" w:rsidRDefault="00A749A6">
            <w:pPr>
              <w:rPr>
                <w:rFonts w:eastAsia="Times New Roman"/>
                <w:sz w:val="20"/>
                <w:szCs w:val="20"/>
              </w:rPr>
            </w:pPr>
          </w:p>
        </w:tc>
        <w:tc>
          <w:tcPr>
            <w:tcW w:w="75"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27"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divId w:val="1739404810"/>
          <w:trHeight w:val="160"/>
          <w:tblCellSpacing w:w="15" w:type="dxa"/>
        </w:trPr>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4"/>
            <w:vAlign w:val="bottom"/>
            <w:hideMark/>
          </w:tcPr>
          <w:p w:rsidR="00000000" w:rsidRDefault="00A749A6">
            <w:pPr>
              <w:pStyle w:val="a3"/>
              <w:spacing w:before="0" w:beforeAutospacing="0" w:after="0" w:afterAutospacing="0"/>
              <w:jc w:val="center"/>
              <w:rPr>
                <w:sz w:val="16"/>
                <w:szCs w:val="16"/>
              </w:rPr>
            </w:pPr>
            <w:r>
              <w:rPr>
                <w:b/>
                <w:bCs/>
                <w:sz w:val="16"/>
                <w:szCs w:val="16"/>
              </w:rPr>
              <w:t>Nine Months Ended June 25, 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4"/>
            <w:vAlign w:val="bottom"/>
            <w:hideMark/>
          </w:tcPr>
          <w:p w:rsidR="00000000" w:rsidRDefault="00A749A6">
            <w:pPr>
              <w:pStyle w:val="a3"/>
              <w:spacing w:before="0" w:beforeAutospacing="0" w:after="0" w:afterAutospacing="0"/>
              <w:jc w:val="center"/>
              <w:rPr>
                <w:sz w:val="16"/>
                <w:szCs w:val="16"/>
              </w:rPr>
            </w:pPr>
            <w:r>
              <w:rPr>
                <w:b/>
                <w:bCs/>
                <w:sz w:val="16"/>
                <w:szCs w:val="16"/>
              </w:rPr>
              <w:t>Nine Months Ended June 26, 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1739404810"/>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b/>
                <w:bCs/>
                <w:sz w:val="16"/>
                <w:szCs w:val="16"/>
              </w:rPr>
              <w:t xml:space="preserve">Derivatives Not Designated </w:t>
            </w:r>
            <w:r>
              <w:rPr>
                <w:b/>
                <w:bCs/>
                <w:sz w:val="16"/>
                <w:szCs w:val="16"/>
              </w:rPr>
              <w:br/>
              <w:t>as Hedging Instrument</w:t>
            </w:r>
            <w:r>
              <w:rPr>
                <w:b/>
                <w:bCs/>
                <w:sz w:val="16"/>
                <w:szCs w:val="16"/>
              </w:rPr>
              <w:t>s</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4"/>
            <w:vAlign w:val="bottom"/>
            <w:hideMark/>
          </w:tcPr>
          <w:p w:rsidR="00000000" w:rsidRDefault="00A749A6">
            <w:pPr>
              <w:pStyle w:val="a3"/>
              <w:spacing w:before="0" w:beforeAutospacing="0" w:after="0" w:afterAutospacing="0"/>
              <w:jc w:val="center"/>
              <w:rPr>
                <w:sz w:val="16"/>
                <w:szCs w:val="16"/>
              </w:rPr>
            </w:pPr>
            <w:r>
              <w:rPr>
                <w:b/>
                <w:bCs/>
                <w:sz w:val="16"/>
                <w:szCs w:val="16"/>
              </w:rPr>
              <w:t>Unrealized Gains (Losses)</w:t>
            </w:r>
            <w:r>
              <w:rPr>
                <w:b/>
                <w:bCs/>
                <w:sz w:val="16"/>
                <w:szCs w:val="16"/>
              </w:rPr>
              <w:br/>
              <w:t>Recognized in Incom</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4"/>
            <w:vAlign w:val="bottom"/>
            <w:hideMark/>
          </w:tcPr>
          <w:p w:rsidR="00000000" w:rsidRDefault="00A749A6">
            <w:pPr>
              <w:pStyle w:val="a3"/>
              <w:spacing w:before="0" w:beforeAutospacing="0" w:after="0" w:afterAutospacing="0"/>
              <w:jc w:val="center"/>
              <w:rPr>
                <w:sz w:val="16"/>
                <w:szCs w:val="16"/>
              </w:rPr>
            </w:pPr>
            <w:r>
              <w:rPr>
                <w:b/>
                <w:bCs/>
                <w:sz w:val="16"/>
                <w:szCs w:val="16"/>
              </w:rPr>
              <w:t>Unrealized Gains (Losses)</w:t>
            </w:r>
            <w:r>
              <w:rPr>
                <w:b/>
                <w:bCs/>
                <w:sz w:val="16"/>
                <w:szCs w:val="16"/>
              </w:rPr>
              <w:br/>
              <w:t>Recognized in Incom</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1739404810"/>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b/>
                <w:bCs/>
                <w:sz w:val="16"/>
                <w:szCs w:val="16"/>
              </w:rPr>
              <w:t>Locatio</w:t>
            </w:r>
            <w:r>
              <w:rPr>
                <w:b/>
                <w:bCs/>
                <w:sz w:val="16"/>
                <w:szCs w:val="16"/>
              </w:rPr>
              <w:t>n</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b/>
                <w:bCs/>
                <w:sz w:val="16"/>
                <w:szCs w:val="16"/>
              </w:rPr>
              <w:t>Locatio</w:t>
            </w:r>
            <w:r>
              <w:rPr>
                <w:b/>
                <w:bCs/>
                <w:sz w:val="16"/>
                <w:szCs w:val="16"/>
              </w:rPr>
              <w:t>n</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Amoun</w:t>
            </w:r>
            <w:r>
              <w:rPr>
                <w:b/>
                <w:bCs/>
                <w:sz w:val="16"/>
                <w:szCs w:val="16"/>
              </w:rPr>
              <w:t>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1739404810"/>
          <w:trHeight w:val="200"/>
          <w:tblCellSpacing w:w="15" w:type="dxa"/>
        </w:trPr>
        <w:tc>
          <w:tcPr>
            <w:tcW w:w="0" w:type="auto"/>
            <w:vAlign w:val="bottom"/>
            <w:hideMark/>
          </w:tcPr>
          <w:p w:rsidR="00000000" w:rsidRDefault="00A749A6">
            <w:pPr>
              <w:pStyle w:val="a3"/>
              <w:spacing w:before="0" w:beforeAutospacing="0" w:after="0" w:afterAutospacing="0"/>
              <w:rPr>
                <w:sz w:val="20"/>
                <w:szCs w:val="20"/>
              </w:rPr>
            </w:pPr>
            <w:r>
              <w:rPr>
                <w:sz w:val="20"/>
                <w:szCs w:val="20"/>
              </w:rPr>
              <w:t>Commodity-related derivative</w:t>
            </w:r>
            <w:r>
              <w:rPr>
                <w:sz w:val="20"/>
                <w:szCs w:val="20"/>
              </w:rPr>
              <w:t>s</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center"/>
              <w:rPr>
                <w:sz w:val="20"/>
                <w:szCs w:val="20"/>
              </w:rPr>
            </w:pPr>
            <w:r>
              <w:rPr>
                <w:sz w:val="20"/>
                <w:szCs w:val="20"/>
              </w:rPr>
              <w:t>Cost of products sol</w:t>
            </w:r>
            <w:r>
              <w:rPr>
                <w:sz w:val="20"/>
                <w:szCs w:val="20"/>
              </w:rPr>
              <w:t>d</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1,44</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center"/>
              <w:rPr>
                <w:sz w:val="20"/>
                <w:szCs w:val="20"/>
              </w:rPr>
            </w:pPr>
            <w:r>
              <w:rPr>
                <w:sz w:val="20"/>
                <w:szCs w:val="20"/>
              </w:rPr>
              <w:t>Cost of products sol</w:t>
            </w:r>
            <w:r>
              <w:rPr>
                <w:sz w:val="20"/>
                <w:szCs w:val="20"/>
              </w:rPr>
              <w:t>d</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17,63</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bl>
    <w:p w:rsidR="00000000" w:rsidRDefault="00A749A6">
      <w:pPr>
        <w:pStyle w:val="a3"/>
        <w:spacing w:before="0" w:beforeAutospacing="0" w:after="0" w:afterAutospacing="0"/>
        <w:jc w:val="both"/>
        <w:divId w:val="1027290905"/>
        <w:rPr>
          <w:sz w:val="20"/>
          <w:szCs w:val="20"/>
        </w:rPr>
      </w:pPr>
      <w:r>
        <w:rPr>
          <w:sz w:val="20"/>
          <w:szCs w:val="20"/>
        </w:rPr>
        <w:t> </w:t>
      </w:r>
    </w:p>
    <w:p w:rsidR="00000000" w:rsidRDefault="00A749A6">
      <w:pPr>
        <w:pStyle w:val="a3"/>
        <w:spacing w:before="0" w:beforeAutospacing="0" w:after="0" w:afterAutospacing="0"/>
        <w:jc w:val="both"/>
        <w:divId w:val="1328824619"/>
        <w:rPr>
          <w:sz w:val="20"/>
          <w:szCs w:val="20"/>
        </w:rPr>
      </w:pPr>
      <w:r>
        <w:rPr>
          <w:sz w:val="20"/>
          <w:szCs w:val="20"/>
        </w:rPr>
        <w:t>The following table presents the fair value of the Partnership’s recognized derivative assets and liabilities on a gross basis and amounts offset on the condensed consolidated balance sheets subject to enforceable master netting arrangements or similar agr</w:t>
      </w:r>
      <w:r>
        <w:rPr>
          <w:sz w:val="20"/>
          <w:szCs w:val="20"/>
        </w:rPr>
        <w:t>eements</w:t>
      </w:r>
      <w:r>
        <w:rPr>
          <w:sz w:val="20"/>
          <w:szCs w:val="20"/>
        </w:rPr>
        <w:t>:</w:t>
      </w:r>
    </w:p>
    <w:p w:rsidR="00000000" w:rsidRDefault="00A749A6">
      <w:pPr>
        <w:pStyle w:val="a3"/>
        <w:spacing w:before="0" w:beforeAutospacing="0" w:after="0" w:afterAutospacing="0"/>
        <w:jc w:val="both"/>
        <w:divId w:val="1328824619"/>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99"/>
        <w:gridCol w:w="110"/>
        <w:gridCol w:w="160"/>
        <w:gridCol w:w="633"/>
        <w:gridCol w:w="110"/>
        <w:gridCol w:w="110"/>
        <w:gridCol w:w="160"/>
        <w:gridCol w:w="677"/>
        <w:gridCol w:w="127"/>
        <w:gridCol w:w="110"/>
        <w:gridCol w:w="160"/>
        <w:gridCol w:w="629"/>
        <w:gridCol w:w="110"/>
        <w:gridCol w:w="110"/>
        <w:gridCol w:w="160"/>
        <w:gridCol w:w="633"/>
        <w:gridCol w:w="110"/>
        <w:gridCol w:w="110"/>
        <w:gridCol w:w="160"/>
        <w:gridCol w:w="677"/>
        <w:gridCol w:w="127"/>
        <w:gridCol w:w="110"/>
        <w:gridCol w:w="160"/>
        <w:gridCol w:w="629"/>
        <w:gridCol w:w="125"/>
      </w:tblGrid>
      <w:tr w:rsidR="00000000">
        <w:trPr>
          <w:divId w:val="1328824619"/>
          <w:tblCellSpacing w:w="15" w:type="dxa"/>
        </w:trPr>
        <w:tc>
          <w:tcPr>
            <w:tcW w:w="1383" w:type="pct"/>
            <w:vAlign w:val="center"/>
            <w:hideMark/>
          </w:tcPr>
          <w:p w:rsidR="00000000" w:rsidRDefault="00A749A6">
            <w:pPr>
              <w:rPr>
                <w:sz w:val="20"/>
                <w:szCs w:val="20"/>
              </w:rPr>
            </w:pPr>
          </w:p>
        </w:tc>
        <w:tc>
          <w:tcPr>
            <w:tcW w:w="5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35"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36"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6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35"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36"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6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divId w:val="1328824619"/>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A749A6">
            <w:pPr>
              <w:pStyle w:val="a3"/>
              <w:spacing w:before="0" w:beforeAutospacing="0" w:after="0" w:afterAutospacing="0"/>
              <w:jc w:val="center"/>
              <w:rPr>
                <w:sz w:val="16"/>
                <w:szCs w:val="16"/>
              </w:rPr>
            </w:pPr>
            <w:r>
              <w:rPr>
                <w:b/>
                <w:bCs/>
                <w:sz w:val="16"/>
                <w:szCs w:val="16"/>
              </w:rPr>
              <w:t>As of June 25, 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10"/>
            <w:vAlign w:val="bottom"/>
            <w:hideMark/>
          </w:tcPr>
          <w:p w:rsidR="00000000" w:rsidRDefault="00A749A6">
            <w:pPr>
              <w:pStyle w:val="a3"/>
              <w:spacing w:before="0" w:beforeAutospacing="0" w:after="0" w:afterAutospacing="0"/>
              <w:jc w:val="center"/>
              <w:rPr>
                <w:sz w:val="16"/>
                <w:szCs w:val="16"/>
              </w:rPr>
            </w:pPr>
            <w:r>
              <w:rPr>
                <w:b/>
                <w:bCs/>
                <w:sz w:val="16"/>
                <w:szCs w:val="16"/>
              </w:rPr>
              <w:t>As of September 25, 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1328824619"/>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Net amount</w:t>
            </w:r>
            <w:r>
              <w:rPr>
                <w:b/>
                <w:bCs/>
                <w:sz w:val="16"/>
                <w:szCs w:val="16"/>
              </w:rPr>
              <w:t>s</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Net amount</w:t>
            </w:r>
            <w:r>
              <w:rPr>
                <w:b/>
                <w:bCs/>
                <w:sz w:val="16"/>
                <w:szCs w:val="16"/>
              </w:rPr>
              <w:t>s</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1328824619"/>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presented in th</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presented in th</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1328824619"/>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Gross amount</w:t>
            </w:r>
            <w:r>
              <w:rPr>
                <w:b/>
                <w:bCs/>
                <w:sz w:val="16"/>
                <w:szCs w:val="16"/>
              </w:rPr>
              <w:t>s</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Effects of nettin</w:t>
            </w:r>
            <w:r>
              <w:rPr>
                <w:b/>
                <w:bCs/>
                <w:sz w:val="16"/>
                <w:szCs w:val="16"/>
              </w:rPr>
              <w:t>g</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balance shee</w:t>
            </w:r>
            <w:r>
              <w:rPr>
                <w:b/>
                <w:bCs/>
                <w:sz w:val="16"/>
                <w:szCs w:val="16"/>
              </w:rPr>
              <w:t>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Gross amount</w:t>
            </w:r>
            <w:r>
              <w:rPr>
                <w:b/>
                <w:bCs/>
                <w:sz w:val="16"/>
                <w:szCs w:val="16"/>
              </w:rPr>
              <w:t>s</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Effects of nettin</w:t>
            </w:r>
            <w:r>
              <w:rPr>
                <w:b/>
                <w:bCs/>
                <w:sz w:val="16"/>
                <w:szCs w:val="16"/>
              </w:rPr>
              <w:t>g</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balance shee</w:t>
            </w:r>
            <w:r>
              <w:rPr>
                <w:b/>
                <w:bCs/>
                <w:sz w:val="16"/>
                <w:szCs w:val="16"/>
              </w:rPr>
              <w:t>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1328824619"/>
          <w:trHeight w:val="200"/>
          <w:tblCellSpacing w:w="15" w:type="dxa"/>
        </w:trPr>
        <w:tc>
          <w:tcPr>
            <w:tcW w:w="0" w:type="auto"/>
            <w:hideMark/>
          </w:tcPr>
          <w:p w:rsidR="00000000" w:rsidRDefault="00A749A6">
            <w:pPr>
              <w:pStyle w:val="a3"/>
              <w:spacing w:before="0" w:beforeAutospacing="0" w:after="0" w:afterAutospacing="0"/>
              <w:rPr>
                <w:sz w:val="20"/>
                <w:szCs w:val="20"/>
              </w:rPr>
            </w:pPr>
            <w:r>
              <w:rPr>
                <w:b/>
                <w:bCs/>
                <w:sz w:val="20"/>
                <w:szCs w:val="20"/>
              </w:rPr>
              <w:t>Asset Derivative</w:t>
            </w:r>
            <w:r>
              <w:rPr>
                <w:b/>
                <w:bCs/>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divId w:val="1328824619"/>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Commodity-related derivative</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88,86</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35,77</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53,08</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76,50</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21,67</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54,83</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1328824619"/>
          <w:trHeight w:val="200"/>
          <w:tblCellSpacing w:w="15" w:type="dxa"/>
        </w:trPr>
        <w:tc>
          <w:tcPr>
            <w:tcW w:w="0" w:type="auto"/>
            <w:vAlign w:val="bottom"/>
            <w:hideMark/>
          </w:tcPr>
          <w:p w:rsidR="00000000" w:rsidRDefault="00A749A6">
            <w:pPr>
              <w:pStyle w:val="a3"/>
              <w:spacing w:before="0" w:beforeAutospacing="0" w:after="0" w:afterAutospacing="0"/>
              <w:rPr>
                <w:sz w:val="20"/>
                <w:szCs w:val="20"/>
              </w:rPr>
            </w:pPr>
            <w:r>
              <w:rPr>
                <w:b/>
                <w:bCs/>
                <w:sz w:val="20"/>
                <w:szCs w:val="20"/>
              </w:rPr>
              <w:t>Liability Derivative</w:t>
            </w:r>
            <w:r>
              <w:rPr>
                <w:b/>
                <w:bCs/>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divId w:val="1328824619"/>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Commodity-related derivative</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48,42</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35,77</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12,65</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32,02</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21,67</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10,34</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bl>
    <w:p w:rsidR="00000000" w:rsidRDefault="00A749A6">
      <w:pPr>
        <w:pStyle w:val="a3"/>
        <w:spacing w:before="0" w:beforeAutospacing="0" w:after="0" w:afterAutospacing="0"/>
        <w:jc w:val="both"/>
        <w:divId w:val="1027290905"/>
        <w:rPr>
          <w:sz w:val="20"/>
          <w:szCs w:val="20"/>
        </w:rPr>
      </w:pPr>
      <w:r>
        <w:rPr>
          <w:sz w:val="20"/>
          <w:szCs w:val="20"/>
        </w:rPr>
        <w:t> </w:t>
      </w:r>
    </w:p>
    <w:p w:rsidR="00000000" w:rsidRDefault="00A749A6">
      <w:pPr>
        <w:pStyle w:val="a3"/>
        <w:spacing w:before="40" w:beforeAutospacing="0" w:after="0" w:afterAutospacing="0"/>
        <w:jc w:val="both"/>
        <w:divId w:val="1027290905"/>
        <w:rPr>
          <w:sz w:val="20"/>
          <w:szCs w:val="20"/>
        </w:rPr>
      </w:pPr>
      <w:r>
        <w:rPr>
          <w:sz w:val="20"/>
          <w:szCs w:val="20"/>
        </w:rPr>
        <w:t xml:space="preserve">The Partnership had </w:t>
      </w:r>
      <w:r>
        <w:rPr>
          <w:sz w:val="20"/>
          <w:szCs w:val="20"/>
        </w:rPr>
        <w:t>$</w:t>
      </w:r>
      <w:r>
        <w:rPr>
          <w:sz w:val="20"/>
          <w:szCs w:val="20"/>
        </w:rPr>
        <w:t>-</w:t>
      </w:r>
      <w:r>
        <w:rPr>
          <w:sz w:val="20"/>
          <w:szCs w:val="20"/>
        </w:rPr>
        <w:t>0</w:t>
      </w:r>
      <w:r>
        <w:rPr>
          <w:sz w:val="20"/>
          <w:szCs w:val="20"/>
        </w:rPr>
        <w:t>-</w:t>
      </w:r>
      <w:r>
        <w:rPr>
          <w:sz w:val="20"/>
          <w:szCs w:val="20"/>
        </w:rPr>
        <w:t xml:space="preserve"> </w:t>
      </w:r>
      <w:r>
        <w:rPr>
          <w:sz w:val="20"/>
          <w:szCs w:val="20"/>
        </w:rPr>
        <w:t>posted cash collateral as of June 25, 2022 and September 25, 2021 with its brokers for outstanding commodity-related derivatives</w:t>
      </w:r>
      <w:r>
        <w:rPr>
          <w:sz w:val="20"/>
          <w:szCs w:val="20"/>
        </w:rPr>
        <w:t>.</w:t>
      </w:r>
    </w:p>
    <w:p w:rsidR="00000000" w:rsidRDefault="00A749A6">
      <w:pPr>
        <w:pStyle w:val="a3"/>
        <w:spacing w:before="240" w:beforeAutospacing="0" w:after="0" w:afterAutospacing="0"/>
        <w:jc w:val="both"/>
        <w:divId w:val="1027290905"/>
        <w:rPr>
          <w:sz w:val="20"/>
          <w:szCs w:val="20"/>
        </w:rPr>
      </w:pPr>
      <w:r>
        <w:rPr>
          <w:b/>
          <w:bCs/>
          <w:sz w:val="20"/>
          <w:szCs w:val="20"/>
        </w:rPr>
        <w:t>Bank Debt and Senior Notes</w:t>
      </w:r>
      <w:r>
        <w:rPr>
          <w:b/>
          <w:bCs/>
          <w:sz w:val="20"/>
          <w:szCs w:val="20"/>
        </w:rPr>
        <w:t>.</w:t>
      </w:r>
      <w:r>
        <w:rPr>
          <w:sz w:val="20"/>
          <w:szCs w:val="20"/>
        </w:rPr>
        <w:t xml:space="preserve"> </w:t>
      </w:r>
      <w:r>
        <w:rPr>
          <w:sz w:val="20"/>
          <w:szCs w:val="20"/>
        </w:rPr>
        <w:t>The fair value of the borrowings under the Revolving Credit Facility (defined below in Note 10) approximates the carrying value since the interest rates are adjusted quarterly to reflect market conditions.</w:t>
      </w:r>
      <w:r>
        <w:rPr>
          <w:sz w:val="20"/>
          <w:szCs w:val="20"/>
        </w:rPr>
        <w:t xml:space="preserve"> </w:t>
      </w:r>
      <w:r>
        <w:rPr>
          <w:sz w:val="20"/>
          <w:szCs w:val="20"/>
        </w:rPr>
        <w:t>Based upon quoted market prices (a Level 1 input),</w:t>
      </w:r>
      <w:r>
        <w:rPr>
          <w:sz w:val="20"/>
          <w:szCs w:val="20"/>
        </w:rPr>
        <w:t xml:space="preserve"> the fair value of the Senior Notes (also defined below in Note 10) of the Partnership are as follows</w:t>
      </w:r>
      <w:r>
        <w:rPr>
          <w:sz w:val="20"/>
          <w:szCs w:val="20"/>
        </w:rPr>
        <w:t>:</w:t>
      </w:r>
    </w:p>
    <w:p w:rsidR="00000000" w:rsidRDefault="00A749A6">
      <w:pPr>
        <w:pStyle w:val="a3"/>
        <w:spacing w:before="0" w:beforeAutospacing="0" w:after="0" w:afterAutospacing="0"/>
        <w:jc w:val="both"/>
        <w:divId w:val="1027290905"/>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469"/>
        <w:gridCol w:w="110"/>
        <w:gridCol w:w="160"/>
        <w:gridCol w:w="710"/>
        <w:gridCol w:w="110"/>
        <w:gridCol w:w="110"/>
        <w:gridCol w:w="160"/>
        <w:gridCol w:w="860"/>
        <w:gridCol w:w="125"/>
      </w:tblGrid>
      <w:tr w:rsidR="00000000">
        <w:trPr>
          <w:divId w:val="680668939"/>
          <w:tblCellSpacing w:w="15" w:type="dxa"/>
        </w:trPr>
        <w:tc>
          <w:tcPr>
            <w:tcW w:w="3357" w:type="pct"/>
            <w:vAlign w:val="center"/>
            <w:hideMark/>
          </w:tcPr>
          <w:p w:rsidR="00000000" w:rsidRDefault="00A749A6">
            <w:pPr>
              <w:rPr>
                <w:sz w:val="20"/>
                <w:szCs w:val="20"/>
              </w:rPr>
            </w:pPr>
          </w:p>
        </w:tc>
        <w:tc>
          <w:tcPr>
            <w:tcW w:w="72"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45"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72"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53"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divId w:val="680668939"/>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As o</w:t>
            </w:r>
            <w:r>
              <w:rPr>
                <w:b/>
                <w:bCs/>
                <w:sz w:val="16"/>
                <w:szCs w:val="16"/>
              </w:rPr>
              <w:t>f</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680668939"/>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September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680668939"/>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680668939"/>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5.87</w:t>
            </w:r>
            <w:r>
              <w:rPr>
                <w:sz w:val="20"/>
                <w:szCs w:val="20"/>
              </w:rPr>
              <w:t>5</w:t>
            </w:r>
            <w:r>
              <w:rPr>
                <w:sz w:val="20"/>
                <w:szCs w:val="20"/>
              </w:rPr>
              <w:t>% senior notes due</w:t>
            </w:r>
            <w:r>
              <w:rPr>
                <w:sz w:val="20"/>
                <w:szCs w:val="20"/>
              </w:rPr>
              <w:t xml:space="preserve"> </w:t>
            </w:r>
            <w:r>
              <w:rPr>
                <w:sz w:val="20"/>
                <w:szCs w:val="20"/>
              </w:rPr>
              <w:t>March 1, 202</w:t>
            </w:r>
            <w:r>
              <w:rPr>
                <w:sz w:val="20"/>
                <w:szCs w:val="20"/>
              </w:rPr>
              <w:t>7</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330,92</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367,06</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680668939"/>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5.</w:t>
            </w:r>
            <w:r>
              <w:rPr>
                <w:sz w:val="20"/>
                <w:szCs w:val="20"/>
              </w:rPr>
              <w:t>0</w:t>
            </w:r>
            <w:r>
              <w:rPr>
                <w:sz w:val="20"/>
                <w:szCs w:val="20"/>
              </w:rPr>
              <w:t>% senior notes due</w:t>
            </w:r>
            <w:r>
              <w:rPr>
                <w:sz w:val="20"/>
                <w:szCs w:val="20"/>
              </w:rPr>
              <w:t xml:space="preserve"> </w:t>
            </w:r>
            <w:r>
              <w:rPr>
                <w:sz w:val="20"/>
                <w:szCs w:val="20"/>
              </w:rPr>
              <w:t>June 1, 203</w:t>
            </w:r>
            <w:r>
              <w:rPr>
                <w:sz w:val="20"/>
                <w:szCs w:val="20"/>
              </w:rPr>
              <w:t>1</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560,62</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676,00</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680668939"/>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891,55</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1,043,06</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bl>
    <w:p w:rsidR="00000000" w:rsidRDefault="00A749A6">
      <w:pPr>
        <w:pStyle w:val="a3"/>
        <w:spacing w:before="0" w:beforeAutospacing="0" w:after="0" w:afterAutospacing="0"/>
        <w:jc w:val="both"/>
        <w:rPr>
          <w:sz w:val="20"/>
          <w:szCs w:val="20"/>
        </w:rPr>
      </w:pPr>
      <w:r>
        <w:rPr>
          <w:sz w:val="20"/>
          <w:szCs w:val="20"/>
        </w:rPr>
        <w:t> </w:t>
      </w:r>
    </w:p>
    <w:p w:rsidR="00000000" w:rsidRDefault="00A749A6">
      <w:pPr>
        <w:jc w:val="both"/>
        <w:divId w:val="696778848"/>
        <w:rPr>
          <w:rFonts w:eastAsia="Times New Roman"/>
        </w:rPr>
      </w:pPr>
      <w:r>
        <w:rPr>
          <w:rFonts w:eastAsia="Times New Roman"/>
          <w:b/>
          <w:bCs/>
          <w:sz w:val="20"/>
          <w:szCs w:val="20"/>
        </w:rPr>
        <w:t>6</w:t>
      </w:r>
      <w:r>
        <w:rPr>
          <w:rFonts w:eastAsia="Times New Roman"/>
          <w:b/>
          <w:bCs/>
          <w:sz w:val="20"/>
          <w:szCs w:val="20"/>
        </w:rPr>
        <w:t>.</w:t>
      </w:r>
    </w:p>
    <w:p w:rsidR="00000000" w:rsidRDefault="00A749A6">
      <w:pPr>
        <w:jc w:val="both"/>
        <w:divId w:val="1530680333"/>
        <w:rPr>
          <w:rFonts w:eastAsia="Times New Roman"/>
        </w:rPr>
      </w:pPr>
      <w:r>
        <w:rPr>
          <w:rFonts w:eastAsia="Times New Roman"/>
          <w:b/>
          <w:bCs/>
          <w:sz w:val="20"/>
          <w:szCs w:val="20"/>
        </w:rPr>
        <w:t>Inventorie</w:t>
      </w:r>
      <w:r>
        <w:rPr>
          <w:rFonts w:eastAsia="Times New Roman"/>
          <w:b/>
          <w:bCs/>
          <w:sz w:val="20"/>
          <w:szCs w:val="20"/>
        </w:rPr>
        <w:t>s</w:t>
      </w:r>
    </w:p>
    <w:p w:rsidR="00000000" w:rsidRDefault="00A749A6">
      <w:pPr>
        <w:pStyle w:val="a3"/>
        <w:spacing w:before="120" w:beforeAutospacing="0" w:after="0" w:afterAutospacing="0"/>
        <w:jc w:val="both"/>
        <w:divId w:val="800464489"/>
        <w:rPr>
          <w:sz w:val="20"/>
          <w:szCs w:val="20"/>
        </w:rPr>
      </w:pPr>
      <w:r>
        <w:rPr>
          <w:sz w:val="20"/>
          <w:szCs w:val="20"/>
        </w:rPr>
        <w:t xml:space="preserve">Inventories are stated at the lower of cost or market. </w:t>
      </w:r>
      <w:r>
        <w:rPr>
          <w:sz w:val="20"/>
          <w:szCs w:val="20"/>
        </w:rPr>
        <w:t>Cost is determined using a weighted average method for propane, fuel oil and refined fuels and natural gas, and a standard cost basis for appliances, which approximates average cost.</w:t>
      </w:r>
      <w:r>
        <w:rPr>
          <w:sz w:val="20"/>
          <w:szCs w:val="20"/>
        </w:rPr>
        <w:t xml:space="preserve"> </w:t>
      </w:r>
      <w:r>
        <w:rPr>
          <w:sz w:val="20"/>
          <w:szCs w:val="20"/>
        </w:rPr>
        <w:t>Inventories consist of the following</w:t>
      </w:r>
      <w:r>
        <w:rPr>
          <w:sz w:val="20"/>
          <w:szCs w:val="20"/>
        </w:rPr>
        <w:t>:</w:t>
      </w:r>
    </w:p>
    <w:p w:rsidR="00000000" w:rsidRDefault="00A749A6">
      <w:pPr>
        <w:pStyle w:val="a3"/>
        <w:spacing w:before="0" w:beforeAutospacing="0" w:after="0" w:afterAutospacing="0"/>
        <w:jc w:val="both"/>
        <w:divId w:val="1018779325"/>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651"/>
        <w:gridCol w:w="110"/>
        <w:gridCol w:w="160"/>
        <w:gridCol w:w="670"/>
        <w:gridCol w:w="110"/>
        <w:gridCol w:w="110"/>
        <w:gridCol w:w="161"/>
        <w:gridCol w:w="717"/>
        <w:gridCol w:w="125"/>
      </w:tblGrid>
      <w:tr w:rsidR="00000000">
        <w:trPr>
          <w:divId w:val="1018779325"/>
          <w:tblCellSpacing w:w="15" w:type="dxa"/>
        </w:trPr>
        <w:tc>
          <w:tcPr>
            <w:tcW w:w="3331" w:type="pct"/>
            <w:vAlign w:val="center"/>
            <w:hideMark/>
          </w:tcPr>
          <w:p w:rsidR="00000000" w:rsidRDefault="00A749A6">
            <w:pPr>
              <w:rPr>
                <w:sz w:val="20"/>
                <w:szCs w:val="20"/>
              </w:rPr>
            </w:pPr>
          </w:p>
        </w:tc>
        <w:tc>
          <w:tcPr>
            <w:tcW w:w="72"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42"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74"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7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divId w:val="1018779325"/>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As o</w:t>
            </w:r>
            <w:r>
              <w:rPr>
                <w:b/>
                <w:bCs/>
                <w:sz w:val="16"/>
                <w:szCs w:val="16"/>
              </w:rPr>
              <w:t>f</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1018779325"/>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September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1018779325"/>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1018779325"/>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Propane, fuel oil and refined fuels and natural ga</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64,63</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59,49</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1018779325"/>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Appliance</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1,69</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2,31</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1018779325"/>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66,32</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61,80</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bl>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1</w:t>
      </w:r>
      <w:r>
        <w:rPr>
          <w:sz w:val="20"/>
          <w:szCs w:val="20"/>
        </w:rPr>
        <w:t>3</w:t>
      </w:r>
    </w:p>
    <w:p w:rsidR="00000000" w:rsidRDefault="00A749A6">
      <w:pPr>
        <w:rPr>
          <w:rFonts w:eastAsia="Times New Roman"/>
        </w:rPr>
      </w:pPr>
      <w:r>
        <w:rPr>
          <w:rFonts w:eastAsia="Times New Roman"/>
        </w:rPr>
        <w:pict>
          <v:rect id="_x0000_i1041" style="width:0;height:1.5pt" o:hralign="center" o:hrstd="t" o:hr="t" fillcolor="#a0a0a0" stroked="f"/>
        </w:pict>
      </w:r>
    </w:p>
    <w:p w:rsidR="00000000" w:rsidRDefault="00A749A6">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jc w:val="both"/>
        <w:divId w:val="837814966"/>
        <w:rPr>
          <w:rFonts w:eastAsia="Times New Roman"/>
          <w:sz w:val="20"/>
          <w:szCs w:val="20"/>
        </w:rPr>
      </w:pPr>
      <w:r>
        <w:rPr>
          <w:rFonts w:eastAsia="Times New Roman"/>
          <w:b/>
          <w:bCs/>
          <w:sz w:val="20"/>
          <w:szCs w:val="20"/>
        </w:rPr>
        <w:t>7</w:t>
      </w:r>
      <w:r>
        <w:rPr>
          <w:rFonts w:eastAsia="Times New Roman"/>
          <w:b/>
          <w:bCs/>
          <w:sz w:val="20"/>
          <w:szCs w:val="20"/>
        </w:rPr>
        <w:t>.</w:t>
      </w:r>
    </w:p>
    <w:p w:rsidR="00000000" w:rsidRDefault="00A749A6">
      <w:pPr>
        <w:jc w:val="both"/>
        <w:divId w:val="732696181"/>
        <w:rPr>
          <w:rFonts w:eastAsia="Times New Roman"/>
          <w:sz w:val="20"/>
          <w:szCs w:val="20"/>
        </w:rPr>
      </w:pPr>
      <w:r>
        <w:rPr>
          <w:rFonts w:eastAsia="Times New Roman"/>
          <w:b/>
          <w:bCs/>
          <w:sz w:val="20"/>
          <w:szCs w:val="20"/>
        </w:rPr>
        <w:t>Goodwill and Other Intangible Asset</w:t>
      </w:r>
      <w:r>
        <w:rPr>
          <w:rFonts w:eastAsia="Times New Roman"/>
          <w:b/>
          <w:bCs/>
          <w:sz w:val="20"/>
          <w:szCs w:val="20"/>
        </w:rPr>
        <w:t>s</w:t>
      </w:r>
    </w:p>
    <w:p w:rsidR="00000000" w:rsidRDefault="00A749A6">
      <w:pPr>
        <w:pStyle w:val="a3"/>
        <w:spacing w:before="120" w:beforeAutospacing="0" w:after="0" w:afterAutospacing="0"/>
        <w:jc w:val="both"/>
        <w:divId w:val="1003357280"/>
        <w:rPr>
          <w:sz w:val="20"/>
          <w:szCs w:val="20"/>
        </w:rPr>
      </w:pPr>
      <w:r>
        <w:rPr>
          <w:sz w:val="20"/>
          <w:szCs w:val="20"/>
        </w:rPr>
        <w:t>Goodwill represents the excess of the purchase price over the fair value of net assets acquired. Goodwill is subject to an impairment review at a reporting unit level, on an annual basis as of the end of fiscal July of each year, or when an event occurs or</w:t>
      </w:r>
      <w:r>
        <w:rPr>
          <w:sz w:val="20"/>
          <w:szCs w:val="20"/>
        </w:rPr>
        <w:t xml:space="preserve"> circumstances change that would indicate potential impairment</w:t>
      </w:r>
      <w:r>
        <w:rPr>
          <w:sz w:val="20"/>
          <w:szCs w:val="20"/>
        </w:rPr>
        <w:t>.</w:t>
      </w:r>
    </w:p>
    <w:p w:rsidR="00000000" w:rsidRDefault="00A749A6">
      <w:pPr>
        <w:pStyle w:val="a3"/>
        <w:spacing w:before="240" w:beforeAutospacing="0" w:after="0" w:afterAutospacing="0"/>
        <w:jc w:val="both"/>
        <w:divId w:val="1003357280"/>
        <w:rPr>
          <w:sz w:val="20"/>
          <w:szCs w:val="20"/>
        </w:rPr>
      </w:pPr>
      <w:r>
        <w:rPr>
          <w:sz w:val="20"/>
          <w:szCs w:val="20"/>
        </w:rPr>
        <w:t>The Partnership has the option to first assess qualitative factors to determine whether the existence of events or circumstances leads to a determination that it is more likely than not that t</w:t>
      </w:r>
      <w:r>
        <w:rPr>
          <w:sz w:val="20"/>
          <w:szCs w:val="20"/>
        </w:rPr>
        <w:t>he fair value of a reporting unit is less than its carrying amount. If, after assessing the totality of events or circumstances, an entity determines it is not more likely than not that the fair value of a reporting unit is less than its carrying amount, t</w:t>
      </w:r>
      <w:r>
        <w:rPr>
          <w:sz w:val="20"/>
          <w:szCs w:val="20"/>
        </w:rPr>
        <w:t>hen performing an impairment test is unnecessary. However, if an entity concludes otherwise, then it is required to perform an impairment test</w:t>
      </w:r>
      <w:r>
        <w:rPr>
          <w:sz w:val="20"/>
          <w:szCs w:val="20"/>
        </w:rPr>
        <w:t>.</w:t>
      </w:r>
    </w:p>
    <w:p w:rsidR="00000000" w:rsidRDefault="00A749A6">
      <w:pPr>
        <w:pStyle w:val="a3"/>
        <w:spacing w:before="240" w:beforeAutospacing="0" w:after="0" w:afterAutospacing="0"/>
        <w:jc w:val="both"/>
        <w:divId w:val="1003357280"/>
        <w:rPr>
          <w:sz w:val="20"/>
          <w:szCs w:val="20"/>
        </w:rPr>
      </w:pPr>
      <w:r>
        <w:rPr>
          <w:sz w:val="20"/>
          <w:szCs w:val="20"/>
        </w:rPr>
        <w:t>Under an impairment test, the Partnership assesses the carrying value of goodwill at a reporting unit level base</w:t>
      </w:r>
      <w:r>
        <w:rPr>
          <w:sz w:val="20"/>
          <w:szCs w:val="20"/>
        </w:rPr>
        <w:t>d on an estimate of the fair value of the respective reporting unit. Fair value of the reporting unit is estimated using discounted cash flow analyses taking into consideration estimated cash flows in a</w:t>
      </w:r>
      <w:r>
        <w:rPr>
          <w:sz w:val="20"/>
          <w:szCs w:val="20"/>
        </w:rPr>
        <w:t xml:space="preserve"> </w:t>
      </w:r>
      <w:r>
        <w:rPr>
          <w:sz w:val="20"/>
          <w:szCs w:val="20"/>
        </w:rPr>
        <w:t>ten-yea</w:t>
      </w:r>
      <w:r>
        <w:rPr>
          <w:sz w:val="20"/>
          <w:szCs w:val="20"/>
        </w:rPr>
        <w:t>r</w:t>
      </w:r>
      <w:r>
        <w:rPr>
          <w:sz w:val="20"/>
          <w:szCs w:val="20"/>
        </w:rPr>
        <w:t xml:space="preserve"> projection period and a terminal value calcu</w:t>
      </w:r>
      <w:r>
        <w:rPr>
          <w:sz w:val="20"/>
          <w:szCs w:val="20"/>
        </w:rPr>
        <w:t>lation at the end of the projection period. If the fair value of the reporting unit exceeds its carrying value, the goodwill associated with the reporting unit is not considered to be impaired. If the carrying value of the reporting unit exceeds its fair v</w:t>
      </w:r>
      <w:r>
        <w:rPr>
          <w:sz w:val="20"/>
          <w:szCs w:val="20"/>
        </w:rPr>
        <w:t>alue, an impairment loss is recognized to the extent that the carrying amount exceeds the fair value, up to the amount of goodwill allocated to the reporting unit</w:t>
      </w:r>
      <w:r>
        <w:rPr>
          <w:sz w:val="20"/>
          <w:szCs w:val="20"/>
        </w:rPr>
        <w:t>.</w:t>
      </w:r>
    </w:p>
    <w:p w:rsidR="00000000" w:rsidRDefault="00A749A6">
      <w:pPr>
        <w:pStyle w:val="a3"/>
        <w:spacing w:before="200" w:beforeAutospacing="0" w:after="200" w:afterAutospacing="0"/>
        <w:jc w:val="both"/>
        <w:divId w:val="1490486876"/>
        <w:rPr>
          <w:sz w:val="20"/>
          <w:szCs w:val="20"/>
        </w:rPr>
      </w:pPr>
      <w:r>
        <w:rPr>
          <w:sz w:val="20"/>
          <w:szCs w:val="20"/>
        </w:rPr>
        <w:t>The carrying values of goodwill assigned to the Partnership’s operating segments are as foll</w:t>
      </w:r>
      <w:r>
        <w:rPr>
          <w:sz w:val="20"/>
          <w:szCs w:val="20"/>
        </w:rPr>
        <w:t>ows</w:t>
      </w:r>
      <w:r>
        <w:rPr>
          <w:sz w:val="20"/>
          <w:szCs w:val="20"/>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873"/>
        <w:gridCol w:w="110"/>
        <w:gridCol w:w="160"/>
        <w:gridCol w:w="860"/>
        <w:gridCol w:w="127"/>
        <w:gridCol w:w="110"/>
        <w:gridCol w:w="160"/>
        <w:gridCol w:w="610"/>
        <w:gridCol w:w="127"/>
        <w:gridCol w:w="110"/>
        <w:gridCol w:w="161"/>
        <w:gridCol w:w="685"/>
        <w:gridCol w:w="110"/>
        <w:gridCol w:w="110"/>
        <w:gridCol w:w="160"/>
        <w:gridCol w:w="860"/>
        <w:gridCol w:w="142"/>
      </w:tblGrid>
      <w:tr w:rsidR="00000000">
        <w:trPr>
          <w:divId w:val="1490486876"/>
          <w:tblCellSpacing w:w="15" w:type="dxa"/>
        </w:trPr>
        <w:tc>
          <w:tcPr>
            <w:tcW w:w="2098" w:type="pct"/>
            <w:vAlign w:val="center"/>
            <w:hideMark/>
          </w:tcPr>
          <w:p w:rsidR="00000000" w:rsidRDefault="00A749A6">
            <w:pPr>
              <w:rPr>
                <w:sz w:val="20"/>
                <w:szCs w:val="20"/>
              </w:rPr>
            </w:pPr>
          </w:p>
        </w:tc>
        <w:tc>
          <w:tcPr>
            <w:tcW w:w="6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5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5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76"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5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divId w:val="1490486876"/>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Fuel oil an</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Natural ga</w:t>
            </w:r>
            <w:r>
              <w:rPr>
                <w:b/>
                <w:bCs/>
                <w:sz w:val="16"/>
                <w:szCs w:val="16"/>
              </w:rPr>
              <w:t>s</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1490486876"/>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Propan</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refined fuel</w:t>
            </w:r>
            <w:r>
              <w:rPr>
                <w:b/>
                <w:bCs/>
                <w:sz w:val="16"/>
                <w:szCs w:val="16"/>
              </w:rPr>
              <w:t>s</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and electricit</w:t>
            </w:r>
            <w:r>
              <w:rPr>
                <w:b/>
                <w:bCs/>
                <w:sz w:val="16"/>
                <w:szCs w:val="16"/>
              </w:rPr>
              <w:t>y</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Tota</w:t>
            </w:r>
            <w:r>
              <w:rPr>
                <w:b/>
                <w:bCs/>
                <w:sz w:val="16"/>
                <w:szCs w:val="16"/>
              </w:rPr>
              <w:t>l</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1490486876"/>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Balance as of September 25, 202</w:t>
            </w:r>
            <w:r>
              <w:rPr>
                <w:sz w:val="20"/>
                <w:szCs w:val="20"/>
              </w:rPr>
              <w:t>1</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divId w:val="1490486876"/>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Goodwil</w:t>
            </w:r>
            <w:r>
              <w:rPr>
                <w:sz w:val="20"/>
                <w:szCs w:val="20"/>
              </w:rPr>
              <w:t>l</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1,094,68</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jc w:val="right"/>
              <w:rPr>
                <w:sz w:val="20"/>
                <w:szCs w:val="20"/>
              </w:rPr>
            </w:pPr>
            <w:r>
              <w:rPr>
                <w:sz w:val="20"/>
                <w:szCs w:val="20"/>
              </w:rPr>
              <w:t>10,90</w:t>
            </w:r>
            <w:r>
              <w:rPr>
                <w:sz w:val="20"/>
                <w:szCs w:val="20"/>
              </w:rPr>
              <w:t>0</w:t>
            </w:r>
          </w:p>
        </w:tc>
        <w:tc>
          <w:tcPr>
            <w:tcW w:w="0" w:type="auto"/>
            <w:noWrap/>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jc w:val="right"/>
              <w:rPr>
                <w:sz w:val="20"/>
                <w:szCs w:val="20"/>
              </w:rPr>
            </w:pPr>
            <w:r>
              <w:rPr>
                <w:sz w:val="20"/>
                <w:szCs w:val="20"/>
              </w:rPr>
              <w:t>7,90</w:t>
            </w:r>
            <w:r>
              <w:rPr>
                <w:sz w:val="20"/>
                <w:szCs w:val="20"/>
              </w:rPr>
              <w:t>0</w:t>
            </w:r>
          </w:p>
        </w:tc>
        <w:tc>
          <w:tcPr>
            <w:tcW w:w="0" w:type="auto"/>
            <w:noWrap/>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1,113,48</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1490486876"/>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Accumulated adjustment</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w:t>
            </w:r>
            <w:r>
              <w:rPr>
                <w:sz w:val="20"/>
                <w:szCs w:val="20"/>
              </w:rPr>
              <w:t>6,46</w:t>
            </w:r>
            <w:r>
              <w:rPr>
                <w:sz w:val="20"/>
                <w:szCs w:val="20"/>
              </w:rPr>
              <w:t>2</w:t>
            </w:r>
          </w:p>
        </w:tc>
        <w:tc>
          <w:tcPr>
            <w:tcW w:w="0" w:type="auto"/>
            <w:noWrap/>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6,46</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divId w:val="1490486876"/>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1,094,68</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4,43</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7,90</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1,107,02</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1490486876"/>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divId w:val="1490486876"/>
          <w:trHeight w:val="200"/>
          <w:tblCellSpacing w:w="15" w:type="dxa"/>
        </w:trPr>
        <w:tc>
          <w:tcPr>
            <w:tcW w:w="0" w:type="auto"/>
            <w:hideMark/>
          </w:tcPr>
          <w:p w:rsidR="00000000" w:rsidRDefault="00A749A6">
            <w:pPr>
              <w:pStyle w:val="a3"/>
              <w:spacing w:before="0" w:beforeAutospacing="0" w:after="0" w:afterAutospacing="0"/>
              <w:rPr>
                <w:sz w:val="20"/>
                <w:szCs w:val="20"/>
              </w:rPr>
            </w:pPr>
            <w:r>
              <w:rPr>
                <w:b/>
                <w:bCs/>
                <w:sz w:val="20"/>
                <w:szCs w:val="20"/>
                <w:u w:val="single"/>
              </w:rPr>
              <w:t>Fiscal 2022 Activit</w:t>
            </w:r>
            <w:r>
              <w:rPr>
                <w:b/>
                <w:bCs/>
                <w:sz w:val="20"/>
                <w:szCs w:val="20"/>
                <w:u w:val="single"/>
              </w:rPr>
              <w:t>y</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divId w:val="1490486876"/>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Goodwill disposed</w:t>
            </w:r>
            <w:r>
              <w:rPr>
                <w:sz w:val="20"/>
                <w:szCs w:val="20"/>
              </w:rPr>
              <w:t xml:space="preserve"> </w:t>
            </w:r>
            <w:r>
              <w:rPr>
                <w:sz w:val="14"/>
                <w:szCs w:val="14"/>
              </w:rPr>
              <w:t>(1</w:t>
            </w:r>
            <w:r>
              <w:rPr>
                <w:sz w:val="14"/>
                <w:szCs w:val="14"/>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jc w:val="right"/>
              <w:rPr>
                <w:sz w:val="20"/>
                <w:szCs w:val="20"/>
              </w:rPr>
            </w:pPr>
            <w:r>
              <w:rPr>
                <w:sz w:val="20"/>
                <w:szCs w:val="20"/>
              </w:rPr>
              <w:t>(</w:t>
            </w:r>
            <w:r>
              <w:rPr>
                <w:sz w:val="20"/>
                <w:szCs w:val="20"/>
              </w:rPr>
              <w:t>39</w:t>
            </w:r>
            <w:r>
              <w:rPr>
                <w:sz w:val="20"/>
                <w:szCs w:val="20"/>
              </w:rPr>
              <w:t>9</w:t>
            </w:r>
          </w:p>
        </w:tc>
        <w:tc>
          <w:tcPr>
            <w:tcW w:w="0" w:type="auto"/>
            <w:noWrap/>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jc w:val="right"/>
              <w:rPr>
                <w:sz w:val="20"/>
                <w:szCs w:val="20"/>
              </w:rPr>
            </w:pPr>
            <w:r>
              <w:rPr>
                <w:sz w:val="20"/>
                <w:szCs w:val="20"/>
              </w:rPr>
              <w:t>(</w:t>
            </w:r>
            <w:r>
              <w:rPr>
                <w:sz w:val="20"/>
                <w:szCs w:val="20"/>
              </w:rPr>
              <w:t>39</w:t>
            </w:r>
            <w:r>
              <w:rPr>
                <w:sz w:val="20"/>
                <w:szCs w:val="20"/>
              </w:rPr>
              <w:t>9</w:t>
            </w:r>
          </w:p>
        </w:tc>
        <w:tc>
          <w:tcPr>
            <w:tcW w:w="0" w:type="auto"/>
            <w:noWrap/>
            <w:hideMark/>
          </w:tcPr>
          <w:p w:rsidR="00000000" w:rsidRDefault="00A749A6">
            <w:pPr>
              <w:pStyle w:val="a3"/>
              <w:spacing w:before="0" w:beforeAutospacing="0" w:after="0" w:afterAutospacing="0"/>
              <w:rPr>
                <w:sz w:val="20"/>
                <w:szCs w:val="20"/>
              </w:rPr>
            </w:pPr>
            <w:r>
              <w:rPr>
                <w:sz w:val="20"/>
                <w:szCs w:val="20"/>
              </w:rPr>
              <w:t>)</w:t>
            </w:r>
          </w:p>
        </w:tc>
      </w:tr>
      <w:tr w:rsidR="00000000">
        <w:trPr>
          <w:divId w:val="1490486876"/>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 </w:t>
            </w:r>
          </w:p>
        </w:tc>
        <w:tc>
          <w:tcPr>
            <w:tcW w:w="0" w:type="auto"/>
            <w:gridSpan w:val="2"/>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 </w:t>
            </w:r>
          </w:p>
        </w:tc>
        <w:tc>
          <w:tcPr>
            <w:tcW w:w="0" w:type="auto"/>
            <w:gridSpan w:val="2"/>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divId w:val="1490486876"/>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Balance as of June 25, 202</w:t>
            </w:r>
            <w:r>
              <w:rPr>
                <w:sz w:val="20"/>
                <w:szCs w:val="20"/>
              </w:rPr>
              <w:t>2</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divId w:val="1490486876"/>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Goodwil</w:t>
            </w:r>
            <w:r>
              <w:rPr>
                <w:sz w:val="20"/>
                <w:szCs w:val="20"/>
              </w:rPr>
              <w:t>l</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1,094,28</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10,90</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7,90</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1,113,08</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1490486876"/>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Accumulated adjustment</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w:t>
            </w:r>
            <w:r>
              <w:rPr>
                <w:sz w:val="20"/>
                <w:szCs w:val="20"/>
              </w:rPr>
              <w:t>6,46</w:t>
            </w:r>
            <w:r>
              <w:rPr>
                <w:sz w:val="20"/>
                <w:szCs w:val="20"/>
              </w:rPr>
              <w:t>2</w:t>
            </w:r>
          </w:p>
        </w:tc>
        <w:tc>
          <w:tcPr>
            <w:tcW w:w="0" w:type="auto"/>
            <w:noWrap/>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6,46</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divId w:val="1490486876"/>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1,094,28</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4,43</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7,90</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1,106,62</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bl>
    <w:p w:rsidR="00000000" w:rsidRDefault="00A749A6">
      <w:pPr>
        <w:pStyle w:val="a3"/>
        <w:spacing w:before="0" w:beforeAutospacing="0" w:after="0" w:afterAutospacing="0"/>
        <w:jc w:val="both"/>
        <w:divId w:val="1003357280"/>
        <w:rPr>
          <w:sz w:val="20"/>
          <w:szCs w:val="20"/>
        </w:rPr>
      </w:pPr>
      <w:r>
        <w:rPr>
          <w:sz w:val="20"/>
          <w:szCs w:val="20"/>
        </w:rPr>
        <w:t> </w:t>
      </w:r>
    </w:p>
    <w:p w:rsidR="00000000" w:rsidRDefault="00A749A6">
      <w:pPr>
        <w:pStyle w:val="a3"/>
        <w:spacing w:before="40" w:beforeAutospacing="0" w:after="160" w:afterAutospacing="0"/>
        <w:jc w:val="both"/>
        <w:divId w:val="1619991715"/>
        <w:rPr>
          <w:sz w:val="20"/>
          <w:szCs w:val="20"/>
        </w:rPr>
      </w:pPr>
      <w:r>
        <w:rPr>
          <w:sz w:val="20"/>
          <w:szCs w:val="20"/>
        </w:rPr>
        <w:t>Other intangible assets consist of the following</w:t>
      </w:r>
      <w:r>
        <w:rPr>
          <w:sz w:val="20"/>
          <w:szCs w:val="20"/>
        </w:rPr>
        <w:t>:</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451"/>
        <w:gridCol w:w="110"/>
        <w:gridCol w:w="160"/>
        <w:gridCol w:w="777"/>
        <w:gridCol w:w="127"/>
        <w:gridCol w:w="110"/>
        <w:gridCol w:w="160"/>
        <w:gridCol w:w="777"/>
        <w:gridCol w:w="142"/>
      </w:tblGrid>
      <w:tr w:rsidR="00000000">
        <w:trPr>
          <w:divId w:val="1619991715"/>
          <w:tblCellSpacing w:w="15" w:type="dxa"/>
        </w:trPr>
        <w:tc>
          <w:tcPr>
            <w:tcW w:w="3346" w:type="pct"/>
            <w:vAlign w:val="center"/>
            <w:hideMark/>
          </w:tcPr>
          <w:p w:rsidR="00000000" w:rsidRDefault="00A749A6">
            <w:pPr>
              <w:rPr>
                <w:sz w:val="20"/>
                <w:szCs w:val="20"/>
              </w:rPr>
            </w:pPr>
          </w:p>
        </w:tc>
        <w:tc>
          <w:tcPr>
            <w:tcW w:w="6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57"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57"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divId w:val="1619991715"/>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As o</w:t>
            </w:r>
            <w:r>
              <w:rPr>
                <w:b/>
                <w:bCs/>
                <w:sz w:val="16"/>
                <w:szCs w:val="16"/>
              </w:rPr>
              <w:t>f</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1619991715"/>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September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1619991715"/>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1619991715"/>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Customer relationships</w:t>
            </w:r>
            <w:r>
              <w:rPr>
                <w:sz w:val="20"/>
                <w:szCs w:val="20"/>
              </w:rPr>
              <w:t xml:space="preserve"> </w:t>
            </w:r>
            <w:r>
              <w:rPr>
                <w:sz w:val="14"/>
                <w:szCs w:val="14"/>
              </w:rPr>
              <w:t>(2</w:t>
            </w:r>
            <w:r>
              <w:rPr>
                <w:sz w:val="14"/>
                <w:szCs w:val="14"/>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519,77</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519,60</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1619991715"/>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Non-compete agreements</w:t>
            </w:r>
            <w:r>
              <w:rPr>
                <w:sz w:val="20"/>
                <w:szCs w:val="20"/>
              </w:rPr>
              <w:t xml:space="preserve"> </w:t>
            </w:r>
            <w:r>
              <w:rPr>
                <w:sz w:val="14"/>
                <w:szCs w:val="14"/>
              </w:rPr>
              <w:t>(2</w:t>
            </w:r>
            <w:r>
              <w:rPr>
                <w:sz w:val="14"/>
                <w:szCs w:val="14"/>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39,19</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38,94</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1619991715"/>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Othe</w:t>
            </w:r>
            <w:r>
              <w:rPr>
                <w:sz w:val="20"/>
                <w:szCs w:val="20"/>
              </w:rPr>
              <w:t>r</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1,96</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1,96</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1619991715"/>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560,93</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560,51</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1619991715"/>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Less: accumulated amortizatio</w:t>
            </w:r>
            <w:r>
              <w:rPr>
                <w:sz w:val="20"/>
                <w:szCs w:val="20"/>
              </w:rPr>
              <w:t>n</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divId w:val="1619991715"/>
          <w:trHeight w:val="200"/>
          <w:tblCellSpacing w:w="15" w:type="dxa"/>
        </w:trPr>
        <w:tc>
          <w:tcPr>
            <w:tcW w:w="0" w:type="auto"/>
            <w:vAlign w:val="bottom"/>
            <w:hideMark/>
          </w:tcPr>
          <w:p w:rsidR="00000000" w:rsidRDefault="00A749A6">
            <w:pPr>
              <w:pStyle w:val="a3"/>
              <w:spacing w:before="0" w:beforeAutospacing="0" w:after="0" w:afterAutospacing="0"/>
              <w:ind w:left="200"/>
              <w:rPr>
                <w:sz w:val="20"/>
                <w:szCs w:val="20"/>
              </w:rPr>
            </w:pPr>
            <w:r>
              <w:rPr>
                <w:sz w:val="20"/>
                <w:szCs w:val="20"/>
              </w:rPr>
              <w:t>Customer relationship</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491,23</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486,39</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divId w:val="1619991715"/>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Non-compete agreement</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33,89</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33,22</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divId w:val="1619991715"/>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Othe</w:t>
            </w:r>
            <w:r>
              <w:rPr>
                <w:sz w:val="20"/>
                <w:szCs w:val="20"/>
              </w:rPr>
              <w:t>r</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1,69</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1,62</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divId w:val="1619991715"/>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526,82</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521,24</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divId w:val="1619991715"/>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34,10</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39,26</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bl>
    <w:p w:rsidR="00000000" w:rsidRDefault="00A749A6">
      <w:pPr>
        <w:pStyle w:val="a3"/>
        <w:spacing w:before="0" w:beforeAutospacing="0" w:after="0" w:afterAutospacing="0"/>
        <w:divId w:val="1619991715"/>
        <w:rPr>
          <w:sz w:val="20"/>
          <w:szCs w:val="20"/>
        </w:rPr>
      </w:pPr>
      <w:r>
        <w:rPr>
          <w:sz w:val="20"/>
          <w:szCs w:val="20"/>
        </w:rPr>
        <w:t> </w:t>
      </w:r>
    </w:p>
    <w:p w:rsidR="00000000" w:rsidRDefault="00A749A6">
      <w:pPr>
        <w:pStyle w:val="a3"/>
        <w:spacing w:before="0" w:beforeAutospacing="0" w:after="0" w:afterAutospacing="0"/>
        <w:jc w:val="center"/>
        <w:divId w:val="1619991715"/>
        <w:rPr>
          <w:sz w:val="20"/>
          <w:szCs w:val="20"/>
        </w:rPr>
      </w:pPr>
      <w:r>
        <w:rPr>
          <w:sz w:val="20"/>
          <w:szCs w:val="20"/>
        </w:rPr>
        <w:t> </w:t>
      </w:r>
    </w:p>
    <w:p w:rsidR="00000000" w:rsidRDefault="00A749A6">
      <w:pPr>
        <w:pStyle w:val="a3"/>
        <w:spacing w:before="0" w:beforeAutospacing="0" w:after="0" w:afterAutospacing="0"/>
        <w:jc w:val="center"/>
        <w:divId w:val="1619991715"/>
        <w:rPr>
          <w:sz w:val="20"/>
          <w:szCs w:val="20"/>
        </w:rPr>
      </w:pPr>
      <w:r>
        <w:rPr>
          <w:sz w:val="20"/>
          <w:szCs w:val="20"/>
        </w:rPr>
        <w:t>1</w:t>
      </w:r>
      <w:r>
        <w:rPr>
          <w:sz w:val="20"/>
          <w:szCs w:val="20"/>
        </w:rPr>
        <w:t>4</w:t>
      </w:r>
    </w:p>
    <w:p w:rsidR="00000000" w:rsidRDefault="00A749A6">
      <w:pPr>
        <w:divId w:val="1619991715"/>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A749A6">
      <w:pPr>
        <w:pStyle w:val="a3"/>
        <w:spacing w:before="0" w:beforeAutospacing="0" w:after="0" w:afterAutospacing="0"/>
        <w:divId w:val="1619991715"/>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jc w:val="both"/>
        <w:divId w:val="1357001711"/>
        <w:rPr>
          <w:rFonts w:eastAsia="Times New Roman"/>
          <w:sz w:val="20"/>
          <w:szCs w:val="20"/>
        </w:rPr>
      </w:pPr>
      <w:r>
        <w:rPr>
          <w:rFonts w:eastAsia="Times New Roman"/>
          <w:sz w:val="20"/>
          <w:szCs w:val="20"/>
        </w:rPr>
        <w:t>(1</w:t>
      </w:r>
      <w:r>
        <w:rPr>
          <w:rFonts w:eastAsia="Times New Roman"/>
          <w:sz w:val="20"/>
          <w:szCs w:val="20"/>
        </w:rPr>
        <w:t>)</w:t>
      </w:r>
    </w:p>
    <w:p w:rsidR="00000000" w:rsidRDefault="00A749A6">
      <w:pPr>
        <w:jc w:val="both"/>
        <w:divId w:val="1179394052"/>
        <w:rPr>
          <w:rFonts w:eastAsia="Times New Roman"/>
          <w:sz w:val="20"/>
          <w:szCs w:val="20"/>
        </w:rPr>
      </w:pPr>
      <w:r>
        <w:rPr>
          <w:rFonts w:eastAsia="Times New Roman"/>
          <w:sz w:val="20"/>
          <w:szCs w:val="20"/>
        </w:rPr>
        <w:t>Reflects the impact from the disposition of certain assets and operations in a non-strategic market of the propane segment (See Note</w:t>
      </w:r>
      <w:r>
        <w:rPr>
          <w:rFonts w:eastAsia="Times New Roman"/>
          <w:sz w:val="20"/>
          <w:szCs w:val="20"/>
        </w:rPr>
        <w:t xml:space="preserve"> 4)</w:t>
      </w:r>
      <w:r>
        <w:rPr>
          <w:rFonts w:eastAsia="Times New Roman"/>
          <w:sz w:val="20"/>
          <w:szCs w:val="20"/>
        </w:rPr>
        <w:t>,</w:t>
      </w:r>
    </w:p>
    <w:p w:rsidR="00000000" w:rsidRDefault="00A749A6">
      <w:pPr>
        <w:jc w:val="both"/>
        <w:divId w:val="308292900"/>
        <w:rPr>
          <w:rFonts w:eastAsia="Times New Roman"/>
          <w:sz w:val="20"/>
          <w:szCs w:val="20"/>
        </w:rPr>
      </w:pPr>
      <w:r>
        <w:rPr>
          <w:rFonts w:eastAsia="Times New Roman"/>
          <w:sz w:val="20"/>
          <w:szCs w:val="20"/>
        </w:rPr>
        <w:t>(2</w:t>
      </w:r>
      <w:r>
        <w:rPr>
          <w:rFonts w:eastAsia="Times New Roman"/>
          <w:sz w:val="20"/>
          <w:szCs w:val="20"/>
        </w:rPr>
        <w:t>)</w:t>
      </w:r>
    </w:p>
    <w:p w:rsidR="00000000" w:rsidRDefault="00A749A6">
      <w:pPr>
        <w:jc w:val="both"/>
        <w:divId w:val="2127194276"/>
        <w:rPr>
          <w:rFonts w:eastAsia="Times New Roman"/>
          <w:sz w:val="20"/>
          <w:szCs w:val="20"/>
        </w:rPr>
      </w:pPr>
      <w:r>
        <w:rPr>
          <w:rFonts w:eastAsia="Times New Roman"/>
          <w:sz w:val="20"/>
          <w:szCs w:val="20"/>
        </w:rPr>
        <w:t>Reflects the impact from acquisitions (See Note 4)</w:t>
      </w:r>
      <w:r>
        <w:rPr>
          <w:rFonts w:eastAsia="Times New Roman"/>
          <w:sz w:val="20"/>
          <w:szCs w:val="20"/>
        </w:rPr>
        <w:t>.</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jc w:val="both"/>
        <w:divId w:val="549532883"/>
        <w:rPr>
          <w:rFonts w:eastAsia="Times New Roman"/>
          <w:sz w:val="20"/>
          <w:szCs w:val="20"/>
        </w:rPr>
      </w:pPr>
      <w:r>
        <w:rPr>
          <w:rFonts w:eastAsia="Times New Roman"/>
          <w:b/>
          <w:bCs/>
          <w:sz w:val="20"/>
          <w:szCs w:val="20"/>
        </w:rPr>
        <w:t>8</w:t>
      </w:r>
      <w:r>
        <w:rPr>
          <w:rFonts w:eastAsia="Times New Roman"/>
          <w:b/>
          <w:bCs/>
          <w:sz w:val="20"/>
          <w:szCs w:val="20"/>
        </w:rPr>
        <w:t>.</w:t>
      </w:r>
    </w:p>
    <w:p w:rsidR="00000000" w:rsidRDefault="00A749A6">
      <w:pPr>
        <w:jc w:val="both"/>
        <w:divId w:val="1721591416"/>
        <w:rPr>
          <w:rFonts w:eastAsia="Times New Roman"/>
          <w:sz w:val="20"/>
          <w:szCs w:val="20"/>
        </w:rPr>
      </w:pPr>
      <w:r>
        <w:rPr>
          <w:rFonts w:eastAsia="Times New Roman"/>
          <w:b/>
          <w:bCs/>
          <w:sz w:val="20"/>
          <w:szCs w:val="20"/>
        </w:rPr>
        <w:t>Leases</w:t>
      </w:r>
      <w:r>
        <w:rPr>
          <w:rFonts w:eastAsia="Times New Roman"/>
          <w:b/>
          <w:bCs/>
          <w:sz w:val="20"/>
          <w:szCs w:val="20"/>
        </w:rPr>
        <w:t xml:space="preserve"> </w:t>
      </w:r>
    </w:p>
    <w:p w:rsidR="00000000" w:rsidRDefault="00A749A6">
      <w:pPr>
        <w:pStyle w:val="a3"/>
        <w:spacing w:before="120" w:beforeAutospacing="0" w:after="0" w:afterAutospacing="0"/>
        <w:jc w:val="both"/>
        <w:divId w:val="75708344"/>
        <w:rPr>
          <w:sz w:val="20"/>
          <w:szCs w:val="20"/>
        </w:rPr>
      </w:pPr>
      <w:r>
        <w:rPr>
          <w:sz w:val="20"/>
          <w:szCs w:val="20"/>
        </w:rPr>
        <w:t xml:space="preserve">The Partnership leases certain property, plant and equipment, including portions of its vehicle fleet, for various periods under noncancelable leases all of which were determined to </w:t>
      </w:r>
      <w:r>
        <w:rPr>
          <w:sz w:val="20"/>
          <w:szCs w:val="20"/>
        </w:rPr>
        <w:t xml:space="preserve">be operating leases. The Partnership determines if an agreement contains a lease at inception based on the Partnership’s right to the economic benefits of the leased assets and its right to direct the use of the leased asset. Right-of-use assets represent </w:t>
      </w:r>
      <w:r>
        <w:rPr>
          <w:sz w:val="20"/>
          <w:szCs w:val="20"/>
        </w:rPr>
        <w:t>the Partnership’s right to use an underlying asset, and right-of-use liabilities represent the Partnership’s obligation to make lease payments arising from the lease. Right-of-use assets and liabilities are recognized at the lease commencement date based o</w:t>
      </w:r>
      <w:r>
        <w:rPr>
          <w:sz w:val="20"/>
          <w:szCs w:val="20"/>
        </w:rPr>
        <w:t>n the present value of the lease payments over the lease term.</w:t>
      </w:r>
      <w:r>
        <w:rPr>
          <w:sz w:val="20"/>
          <w:szCs w:val="20"/>
        </w:rPr>
        <w:t xml:space="preserve"> </w:t>
      </w:r>
      <w:r>
        <w:rPr>
          <w:sz w:val="20"/>
          <w:szCs w:val="20"/>
        </w:rPr>
        <w:t>As most of the Partnership’s leases do not provide an implicit rate, the Partnership uses its estimated incremental borrowing rate based on the information available at the commencement date, a</w:t>
      </w:r>
      <w:r>
        <w:rPr>
          <w:sz w:val="20"/>
          <w:szCs w:val="20"/>
        </w:rPr>
        <w:t>djusted for the lease term, to determine the present value of the lease payments. This rate is calculated based on a collateralized rate for the specific leasing activities of the Partnership</w:t>
      </w:r>
      <w:r>
        <w:rPr>
          <w:sz w:val="20"/>
          <w:szCs w:val="20"/>
        </w:rPr>
        <w:t>.</w:t>
      </w:r>
    </w:p>
    <w:p w:rsidR="00000000" w:rsidRDefault="00A749A6">
      <w:pPr>
        <w:pStyle w:val="a3"/>
        <w:spacing w:before="240" w:beforeAutospacing="0" w:after="0" w:afterAutospacing="0"/>
        <w:jc w:val="both"/>
        <w:divId w:val="75708344"/>
        <w:rPr>
          <w:sz w:val="20"/>
          <w:szCs w:val="20"/>
        </w:rPr>
      </w:pPr>
      <w:r>
        <w:rPr>
          <w:sz w:val="20"/>
          <w:szCs w:val="20"/>
        </w:rPr>
        <w:t>Some leases include one or more options to renew at the Partner</w:t>
      </w:r>
      <w:r>
        <w:rPr>
          <w:sz w:val="20"/>
          <w:szCs w:val="20"/>
        </w:rPr>
        <w:t>ship’s discretion, with renewal terms that can extend the lease from</w:t>
      </w:r>
      <w:r>
        <w:rPr>
          <w:sz w:val="20"/>
          <w:szCs w:val="20"/>
        </w:rPr>
        <w:t xml:space="preserve"> </w:t>
      </w:r>
      <w:r>
        <w:rPr>
          <w:sz w:val="20"/>
          <w:szCs w:val="20"/>
        </w:rPr>
        <w:t>on</w:t>
      </w:r>
      <w:r>
        <w:rPr>
          <w:sz w:val="20"/>
          <w:szCs w:val="20"/>
        </w:rPr>
        <w:t>e</w:t>
      </w:r>
      <w:r>
        <w:rPr>
          <w:sz w:val="20"/>
          <w:szCs w:val="20"/>
        </w:rPr>
        <w:t xml:space="preserve"> to</w:t>
      </w:r>
      <w:r>
        <w:rPr>
          <w:sz w:val="20"/>
          <w:szCs w:val="20"/>
        </w:rPr>
        <w:t xml:space="preserve"> </w:t>
      </w:r>
      <w:r>
        <w:rPr>
          <w:sz w:val="20"/>
          <w:szCs w:val="20"/>
        </w:rPr>
        <w:t>fiftee</w:t>
      </w:r>
      <w:r>
        <w:rPr>
          <w:sz w:val="20"/>
          <w:szCs w:val="20"/>
        </w:rPr>
        <w:t>n</w:t>
      </w:r>
      <w:r>
        <w:rPr>
          <w:sz w:val="20"/>
          <w:szCs w:val="20"/>
        </w:rPr>
        <w:t xml:space="preserve"> additional years. The renewal options are included in the measurement of the right-of-use assets and lease liabilities if the Partnership is reasonably certain to exercise </w:t>
      </w:r>
      <w:r>
        <w:rPr>
          <w:sz w:val="20"/>
          <w:szCs w:val="20"/>
        </w:rPr>
        <w:t>the renewal options</w:t>
      </w:r>
      <w:r>
        <w:rPr>
          <w:sz w:val="20"/>
          <w:szCs w:val="20"/>
        </w:rPr>
        <w:t>.</w:t>
      </w:r>
      <w:r>
        <w:rPr>
          <w:sz w:val="20"/>
          <w:szCs w:val="20"/>
        </w:rPr>
        <w:t xml:space="preserve"> Short-term leases are leases having an initial term of</w:t>
      </w:r>
      <w:r>
        <w:rPr>
          <w:sz w:val="20"/>
          <w:szCs w:val="20"/>
        </w:rPr>
        <w:t xml:space="preserve"> </w:t>
      </w:r>
      <w:r>
        <w:rPr>
          <w:sz w:val="20"/>
          <w:szCs w:val="20"/>
        </w:rPr>
        <w:t>twelve month</w:t>
      </w:r>
      <w:r>
        <w:rPr>
          <w:sz w:val="20"/>
          <w:szCs w:val="20"/>
        </w:rPr>
        <w:t>s</w:t>
      </w:r>
      <w:r>
        <w:rPr>
          <w:sz w:val="20"/>
          <w:szCs w:val="20"/>
        </w:rPr>
        <w:t xml:space="preserve"> or less. The Partnership recognizes expenses for short-term leases on a straight-line basis and does not record a lease asset or lease liability for such leases</w:t>
      </w:r>
      <w:r>
        <w:rPr>
          <w:sz w:val="20"/>
          <w:szCs w:val="20"/>
        </w:rPr>
        <w:t>.</w:t>
      </w:r>
    </w:p>
    <w:p w:rsidR="00000000" w:rsidRDefault="00A749A6">
      <w:pPr>
        <w:pStyle w:val="a3"/>
        <w:spacing w:before="240" w:beforeAutospacing="0" w:after="0" w:afterAutospacing="0"/>
        <w:jc w:val="both"/>
        <w:divId w:val="75708344"/>
        <w:rPr>
          <w:sz w:val="20"/>
          <w:szCs w:val="20"/>
        </w:rPr>
      </w:pPr>
      <w:r>
        <w:rPr>
          <w:sz w:val="20"/>
          <w:szCs w:val="20"/>
        </w:rPr>
        <w:t>The Partnership has residual value guarantees associated with certain of its operating leases, related primarily to transportation equipment. See Note 14, “Guarantees” for more information</w:t>
      </w:r>
      <w:r>
        <w:rPr>
          <w:sz w:val="20"/>
          <w:szCs w:val="20"/>
        </w:rPr>
        <w:t>.</w:t>
      </w:r>
      <w:r>
        <w:rPr>
          <w:sz w:val="20"/>
          <w:szCs w:val="20"/>
        </w:rPr>
        <w:t xml:space="preserve"> </w:t>
      </w:r>
    </w:p>
    <w:p w:rsidR="00000000" w:rsidRDefault="00A749A6">
      <w:pPr>
        <w:pStyle w:val="a3"/>
        <w:spacing w:before="240" w:beforeAutospacing="0" w:after="0" w:afterAutospacing="0"/>
        <w:jc w:val="both"/>
        <w:divId w:val="75708344"/>
        <w:rPr>
          <w:sz w:val="20"/>
          <w:szCs w:val="20"/>
        </w:rPr>
      </w:pPr>
      <w:r>
        <w:rPr>
          <w:sz w:val="20"/>
          <w:szCs w:val="20"/>
        </w:rPr>
        <w:t>The Partnership does not have any material lease obligations that</w:t>
      </w:r>
      <w:r>
        <w:rPr>
          <w:sz w:val="20"/>
          <w:szCs w:val="20"/>
        </w:rPr>
        <w:t xml:space="preserve"> were signed, but not yet commenced as of June 25, 2022</w:t>
      </w:r>
      <w:r>
        <w:rPr>
          <w:sz w:val="20"/>
          <w:szCs w:val="20"/>
        </w:rPr>
        <w:t>.</w:t>
      </w:r>
    </w:p>
    <w:p w:rsidR="00000000" w:rsidRDefault="00A749A6">
      <w:pPr>
        <w:pStyle w:val="a3"/>
        <w:spacing w:before="240" w:beforeAutospacing="0" w:after="0" w:afterAutospacing="0"/>
        <w:jc w:val="both"/>
        <w:divId w:val="554513695"/>
        <w:rPr>
          <w:sz w:val="20"/>
          <w:szCs w:val="20"/>
        </w:rPr>
      </w:pPr>
      <w:r>
        <w:rPr>
          <w:sz w:val="20"/>
          <w:szCs w:val="20"/>
        </w:rPr>
        <w:t>Quantitative information on the Partnership’s lease population is as follows</w:t>
      </w:r>
      <w:r>
        <w:rPr>
          <w:sz w:val="20"/>
          <w:szCs w:val="20"/>
        </w:rPr>
        <w:t>:</w:t>
      </w:r>
    </w:p>
    <w:p w:rsidR="00000000" w:rsidRDefault="00A749A6">
      <w:pPr>
        <w:pStyle w:val="a3"/>
        <w:spacing w:before="0" w:beforeAutospacing="0" w:after="0" w:afterAutospacing="0"/>
        <w:jc w:val="both"/>
        <w:divId w:val="554513695"/>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1319"/>
        <w:gridCol w:w="115"/>
        <w:gridCol w:w="160"/>
        <w:gridCol w:w="610"/>
        <w:gridCol w:w="110"/>
        <w:gridCol w:w="110"/>
        <w:gridCol w:w="160"/>
        <w:gridCol w:w="610"/>
        <w:gridCol w:w="110"/>
        <w:gridCol w:w="115"/>
        <w:gridCol w:w="115"/>
        <w:gridCol w:w="161"/>
        <w:gridCol w:w="687"/>
        <w:gridCol w:w="227"/>
        <w:gridCol w:w="115"/>
        <w:gridCol w:w="161"/>
        <w:gridCol w:w="687"/>
        <w:gridCol w:w="242"/>
      </w:tblGrid>
      <w:tr w:rsidR="00000000">
        <w:trPr>
          <w:divId w:val="554513695"/>
          <w:tblCellSpacing w:w="15" w:type="dxa"/>
        </w:trPr>
        <w:tc>
          <w:tcPr>
            <w:tcW w:w="2266" w:type="pct"/>
            <w:vAlign w:val="center"/>
            <w:hideMark/>
          </w:tcPr>
          <w:p w:rsidR="00000000" w:rsidRDefault="00A749A6">
            <w:pPr>
              <w:rPr>
                <w:sz w:val="20"/>
                <w:szCs w:val="20"/>
              </w:rPr>
            </w:pPr>
          </w:p>
        </w:tc>
        <w:tc>
          <w:tcPr>
            <w:tcW w:w="72"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7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72"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7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72" w:type="pct"/>
            <w:vAlign w:val="center"/>
            <w:hideMark/>
          </w:tcPr>
          <w:p w:rsidR="00000000" w:rsidRDefault="00A749A6">
            <w:pPr>
              <w:rPr>
                <w:rFonts w:eastAsia="Times New Roman"/>
                <w:sz w:val="20"/>
                <w:szCs w:val="20"/>
              </w:rPr>
            </w:pPr>
          </w:p>
        </w:tc>
        <w:tc>
          <w:tcPr>
            <w:tcW w:w="72"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0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72"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1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divId w:val="554513695"/>
          <w:trHeight w:val="160"/>
          <w:tblCellSpacing w:w="15" w:type="dxa"/>
        </w:trPr>
        <w:tc>
          <w:tcPr>
            <w:tcW w:w="0" w:type="auto"/>
            <w:vAlign w:val="bottom"/>
            <w:hideMark/>
          </w:tcPr>
          <w:p w:rsidR="00000000" w:rsidRDefault="00A749A6">
            <w:pPr>
              <w:pStyle w:val="a3"/>
              <w:spacing w:before="0" w:beforeAutospacing="0" w:after="0" w:afterAutospacing="0"/>
              <w:rPr>
                <w:sz w:val="22"/>
                <w:szCs w:val="22"/>
              </w:rPr>
            </w:pPr>
            <w:r>
              <w:rPr>
                <w:sz w:val="22"/>
                <w:szCs w:val="22"/>
              </w:rPr>
              <w:t> </w:t>
            </w:r>
          </w:p>
        </w:tc>
        <w:tc>
          <w:tcPr>
            <w:tcW w:w="0" w:type="auto"/>
            <w:vAlign w:val="bottom"/>
            <w:hideMark/>
          </w:tcPr>
          <w:p w:rsidR="00000000" w:rsidRDefault="00A749A6">
            <w:pPr>
              <w:pStyle w:val="a3"/>
              <w:spacing w:before="0" w:beforeAutospacing="0" w:after="0" w:afterAutospacing="0"/>
              <w:rPr>
                <w:sz w:val="22"/>
                <w:szCs w:val="22"/>
              </w:rPr>
            </w:pPr>
            <w:r>
              <w:rPr>
                <w:sz w:val="22"/>
                <w:szCs w:val="22"/>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22"/>
                <w:szCs w:val="22"/>
              </w:rPr>
            </w:pPr>
            <w:r>
              <w:rPr>
                <w:sz w:val="22"/>
                <w:szCs w:val="22"/>
              </w:rPr>
              <w:t> </w:t>
            </w:r>
          </w:p>
        </w:tc>
        <w:tc>
          <w:tcPr>
            <w:tcW w:w="0" w:type="auto"/>
            <w:vAlign w:val="bottom"/>
            <w:hideMark/>
          </w:tcPr>
          <w:p w:rsidR="00000000" w:rsidRDefault="00A749A6">
            <w:pPr>
              <w:pStyle w:val="a3"/>
              <w:spacing w:before="0" w:beforeAutospacing="0" w:after="0" w:afterAutospacing="0"/>
              <w:rPr>
                <w:sz w:val="22"/>
                <w:szCs w:val="22"/>
              </w:rPr>
            </w:pPr>
            <w:r>
              <w:rPr>
                <w:sz w:val="22"/>
                <w:szCs w:val="22"/>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Nine Months Ende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554513695"/>
          <w:trHeight w:val="160"/>
          <w:tblCellSpacing w:w="15" w:type="dxa"/>
        </w:trPr>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26</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22"/>
                <w:szCs w:val="22"/>
              </w:rPr>
            </w:pPr>
            <w:r>
              <w:rPr>
                <w:sz w:val="22"/>
                <w:szCs w:val="22"/>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26</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554513695"/>
          <w:trHeight w:val="160"/>
          <w:tblCellSpacing w:w="15" w:type="dxa"/>
        </w:trPr>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22"/>
                <w:szCs w:val="22"/>
              </w:rPr>
            </w:pPr>
            <w:r>
              <w:rPr>
                <w:sz w:val="22"/>
                <w:szCs w:val="22"/>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554513695"/>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Lease expens</w:t>
            </w:r>
            <w:r>
              <w:rPr>
                <w:sz w:val="20"/>
                <w:szCs w:val="20"/>
              </w:rPr>
              <w:t>e</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10,46</w:t>
            </w:r>
            <w:r>
              <w:rPr>
                <w:sz w:val="20"/>
                <w:szCs w:val="20"/>
              </w:rPr>
              <w:t>2</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9,57</w:t>
            </w:r>
            <w:r>
              <w:rPr>
                <w:sz w:val="20"/>
                <w:szCs w:val="20"/>
              </w:rPr>
              <w:t>8</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30,84</w:t>
            </w:r>
            <w:r>
              <w:rPr>
                <w:sz w:val="20"/>
                <w:szCs w:val="20"/>
              </w:rPr>
              <w:t>8</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27,87</w:t>
            </w:r>
            <w:r>
              <w:rPr>
                <w:sz w:val="20"/>
                <w:szCs w:val="20"/>
              </w:rPr>
              <w:t>0</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r>
      <w:tr w:rsidR="00000000">
        <w:trPr>
          <w:divId w:val="554513695"/>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gridSpan w:val="2"/>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gridSpan w:val="2"/>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 </w:t>
            </w:r>
          </w:p>
        </w:tc>
      </w:tr>
      <w:tr w:rsidR="00000000">
        <w:trPr>
          <w:divId w:val="554513695"/>
          <w:trHeight w:val="200"/>
          <w:tblCellSpacing w:w="15" w:type="dxa"/>
        </w:trPr>
        <w:tc>
          <w:tcPr>
            <w:tcW w:w="0" w:type="auto"/>
            <w:hideMark/>
          </w:tcPr>
          <w:p w:rsidR="00000000" w:rsidRDefault="00A749A6">
            <w:pPr>
              <w:pStyle w:val="a3"/>
              <w:spacing w:before="0" w:beforeAutospacing="0" w:after="0" w:afterAutospacing="0"/>
              <w:rPr>
                <w:sz w:val="20"/>
                <w:szCs w:val="20"/>
              </w:rPr>
            </w:pPr>
            <w:r>
              <w:rPr>
                <w:b/>
                <w:bCs/>
                <w:sz w:val="20"/>
                <w:szCs w:val="20"/>
              </w:rPr>
              <w:t>Other information</w:t>
            </w:r>
            <w:r>
              <w:rPr>
                <w:b/>
                <w:bCs/>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gridSpan w:val="2"/>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gridSpan w:val="2"/>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 </w:t>
            </w:r>
          </w:p>
        </w:tc>
      </w:tr>
      <w:tr w:rsidR="00000000">
        <w:trPr>
          <w:divId w:val="554513695"/>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Cash payments for operating lease</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10,51</w:t>
            </w:r>
            <w:r>
              <w:rPr>
                <w:sz w:val="20"/>
                <w:szCs w:val="20"/>
              </w:rPr>
              <w:t>9</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9,67</w:t>
            </w:r>
            <w:r>
              <w:rPr>
                <w:sz w:val="20"/>
                <w:szCs w:val="20"/>
              </w:rPr>
              <w:t>6</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31,19</w:t>
            </w:r>
            <w:r>
              <w:rPr>
                <w:sz w:val="20"/>
                <w:szCs w:val="20"/>
              </w:rPr>
              <w:t>4</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28,02</w:t>
            </w:r>
            <w:r>
              <w:rPr>
                <w:sz w:val="20"/>
                <w:szCs w:val="20"/>
              </w:rPr>
              <w:t>8</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r>
      <w:tr w:rsidR="00000000">
        <w:trPr>
          <w:divId w:val="554513695"/>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Right-of-use assets obtained in exchange</w:t>
            </w:r>
            <w:r>
              <w:rPr>
                <w:sz w:val="20"/>
                <w:szCs w:val="20"/>
              </w:rPr>
              <w:br/>
              <w:t>   for new operating lease liabilitie</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6,35</w:t>
            </w:r>
            <w:r>
              <w:rPr>
                <w:sz w:val="20"/>
                <w:szCs w:val="20"/>
              </w:rPr>
              <w:t>4</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12,65</w:t>
            </w:r>
            <w:r>
              <w:rPr>
                <w:sz w:val="20"/>
                <w:szCs w:val="20"/>
              </w:rPr>
              <w:t>4</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31,14</w:t>
            </w:r>
            <w:r>
              <w:rPr>
                <w:sz w:val="20"/>
                <w:szCs w:val="20"/>
              </w:rPr>
              <w:t>3</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34,41</w:t>
            </w:r>
            <w:r>
              <w:rPr>
                <w:sz w:val="20"/>
                <w:szCs w:val="20"/>
              </w:rPr>
              <w:t>8</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r>
      <w:tr w:rsidR="00000000">
        <w:trPr>
          <w:divId w:val="554513695"/>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Weighted-average remaining lease ter</w:t>
            </w:r>
            <w:r>
              <w:rPr>
                <w:sz w:val="20"/>
                <w:szCs w:val="20"/>
              </w:rPr>
              <w:t>m</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gridSpan w:val="2"/>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A749A6">
            <w:pPr>
              <w:pStyle w:val="a3"/>
              <w:spacing w:before="0" w:beforeAutospacing="0" w:after="0" w:afterAutospacing="0"/>
              <w:jc w:val="right"/>
              <w:rPr>
                <w:sz w:val="20"/>
                <w:szCs w:val="20"/>
              </w:rPr>
            </w:pPr>
            <w:r>
              <w:rPr>
                <w:sz w:val="20"/>
                <w:szCs w:val="20"/>
              </w:rPr>
              <w:t>6.</w:t>
            </w:r>
            <w:r>
              <w:rPr>
                <w:sz w:val="20"/>
                <w:szCs w:val="20"/>
              </w:rPr>
              <w:t>1</w:t>
            </w:r>
            <w:r>
              <w:rPr>
                <w:sz w:val="20"/>
                <w:szCs w:val="20"/>
              </w:rPr>
              <w:t> year</w:t>
            </w:r>
            <w:r>
              <w:rPr>
                <w:sz w:val="20"/>
                <w:szCs w:val="20"/>
              </w:rPr>
              <w:t>s</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gridSpan w:val="2"/>
            <w:vAlign w:val="center"/>
            <w:hideMark/>
          </w:tcPr>
          <w:p w:rsidR="00000000" w:rsidRDefault="00A749A6">
            <w:pPr>
              <w:pStyle w:val="a3"/>
              <w:spacing w:before="0" w:beforeAutospacing="0" w:after="0" w:afterAutospacing="0"/>
              <w:jc w:val="right"/>
              <w:rPr>
                <w:sz w:val="20"/>
                <w:szCs w:val="20"/>
              </w:rPr>
            </w:pPr>
            <w:r>
              <w:rPr>
                <w:sz w:val="20"/>
                <w:szCs w:val="20"/>
              </w:rPr>
              <w:t>6.</w:t>
            </w:r>
            <w:r>
              <w:rPr>
                <w:sz w:val="20"/>
                <w:szCs w:val="20"/>
              </w:rPr>
              <w:t>2</w:t>
            </w:r>
            <w:r>
              <w:rPr>
                <w:sz w:val="20"/>
                <w:szCs w:val="20"/>
              </w:rPr>
              <w:t> year</w:t>
            </w:r>
            <w:r>
              <w:rPr>
                <w:sz w:val="20"/>
                <w:szCs w:val="20"/>
              </w:rPr>
              <w:t>s</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 </w:t>
            </w:r>
          </w:p>
        </w:tc>
      </w:tr>
      <w:tr w:rsidR="00000000">
        <w:trPr>
          <w:divId w:val="554513695"/>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Weighted-average discount rat</w:t>
            </w:r>
            <w:r>
              <w:rPr>
                <w:sz w:val="20"/>
                <w:szCs w:val="20"/>
              </w:rPr>
              <w:t>e</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gridSpan w:val="2"/>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4.</w:t>
            </w:r>
            <w:r>
              <w:rPr>
                <w:sz w:val="20"/>
                <w:szCs w:val="20"/>
              </w:rPr>
              <w:t>9</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5.</w:t>
            </w:r>
            <w:r>
              <w:rPr>
                <w:sz w:val="20"/>
                <w:szCs w:val="20"/>
              </w:rPr>
              <w:t>2</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w:t>
            </w:r>
          </w:p>
        </w:tc>
      </w:tr>
    </w:tbl>
    <w:p w:rsidR="00000000" w:rsidRDefault="00A749A6">
      <w:pPr>
        <w:pStyle w:val="a3"/>
        <w:spacing w:before="0" w:beforeAutospacing="0" w:after="0" w:afterAutospacing="0"/>
        <w:divId w:val="75708344"/>
        <w:rPr>
          <w:sz w:val="20"/>
          <w:szCs w:val="20"/>
        </w:rPr>
      </w:pPr>
      <w:r>
        <w:rPr>
          <w:sz w:val="20"/>
          <w:szCs w:val="20"/>
        </w:rPr>
        <w:t> </w:t>
      </w:r>
    </w:p>
    <w:p w:rsidR="00000000" w:rsidRDefault="00A749A6">
      <w:pPr>
        <w:pStyle w:val="a3"/>
        <w:spacing w:before="0" w:beforeAutospacing="0" w:after="0" w:afterAutospacing="0"/>
        <w:jc w:val="both"/>
        <w:divId w:val="1976058418"/>
        <w:rPr>
          <w:sz w:val="20"/>
          <w:szCs w:val="20"/>
        </w:rPr>
      </w:pPr>
      <w:r>
        <w:rPr>
          <w:sz w:val="20"/>
          <w:szCs w:val="20"/>
        </w:rPr>
        <w:t>The following table summarizes future minimum lease payments under non-cancelable operating leases as of June 25, 2022</w:t>
      </w:r>
      <w:r>
        <w:rPr>
          <w:sz w:val="20"/>
          <w:szCs w:val="20"/>
        </w:rPr>
        <w:t>:</w:t>
      </w:r>
      <w:r>
        <w:rPr>
          <w:sz w:val="20"/>
          <w:szCs w:val="20"/>
        </w:rPr>
        <w:t xml:space="preserve"> </w:t>
      </w:r>
    </w:p>
    <w:p w:rsidR="00000000" w:rsidRDefault="00A749A6">
      <w:pPr>
        <w:pStyle w:val="a3"/>
        <w:spacing w:before="0" w:beforeAutospacing="0" w:after="0" w:afterAutospacing="0"/>
        <w:jc w:val="both"/>
        <w:divId w:val="1976058418"/>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4376"/>
        <w:gridCol w:w="115"/>
        <w:gridCol w:w="160"/>
        <w:gridCol w:w="1021"/>
        <w:gridCol w:w="142"/>
      </w:tblGrid>
      <w:tr w:rsidR="00000000">
        <w:trPr>
          <w:divId w:val="1976058418"/>
          <w:tblCellSpacing w:w="15" w:type="dxa"/>
        </w:trPr>
        <w:tc>
          <w:tcPr>
            <w:tcW w:w="3876" w:type="pct"/>
            <w:vAlign w:val="center"/>
            <w:hideMark/>
          </w:tcPr>
          <w:p w:rsidR="00000000" w:rsidRDefault="00A749A6">
            <w:pPr>
              <w:rPr>
                <w:sz w:val="20"/>
                <w:szCs w:val="20"/>
              </w:rPr>
            </w:pPr>
          </w:p>
        </w:tc>
        <w:tc>
          <w:tcPr>
            <w:tcW w:w="9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925"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divId w:val="1976058418"/>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b/>
                <w:bCs/>
                <w:sz w:val="16"/>
                <w:szCs w:val="16"/>
              </w:rPr>
              <w:t>Fiscal Yea</w:t>
            </w:r>
            <w:r>
              <w:rPr>
                <w:b/>
                <w:bCs/>
                <w:sz w:val="16"/>
                <w:szCs w:val="16"/>
              </w:rPr>
              <w:t>r</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Operating Lease</w:t>
            </w:r>
            <w:r>
              <w:rPr>
                <w:b/>
                <w:bCs/>
                <w:sz w:val="16"/>
                <w:szCs w:val="16"/>
              </w:rPr>
              <w:t>s</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1976058418"/>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2022 (remaining</w:t>
            </w: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9,85</w:t>
            </w:r>
            <w:r>
              <w:rPr>
                <w:sz w:val="20"/>
                <w:szCs w:val="20"/>
              </w:rPr>
              <w:t>4</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r>
      <w:tr w:rsidR="00000000">
        <w:trPr>
          <w:divId w:val="1976058418"/>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202</w:t>
            </w:r>
            <w:r>
              <w:rPr>
                <w:sz w:val="20"/>
                <w:szCs w:val="20"/>
              </w:rPr>
              <w:t>3</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36,77</w:t>
            </w:r>
            <w:r>
              <w:rPr>
                <w:sz w:val="20"/>
                <w:szCs w:val="20"/>
              </w:rPr>
              <w:t>3</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r>
      <w:tr w:rsidR="00000000">
        <w:trPr>
          <w:divId w:val="1976058418"/>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202</w:t>
            </w:r>
            <w:r>
              <w:rPr>
                <w:sz w:val="20"/>
                <w:szCs w:val="20"/>
              </w:rPr>
              <w:t>4</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30,91</w:t>
            </w:r>
            <w:r>
              <w:rPr>
                <w:sz w:val="20"/>
                <w:szCs w:val="20"/>
              </w:rPr>
              <w:t>8</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r>
      <w:tr w:rsidR="00000000">
        <w:trPr>
          <w:divId w:val="1976058418"/>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202</w:t>
            </w:r>
            <w:r>
              <w:rPr>
                <w:sz w:val="20"/>
                <w:szCs w:val="20"/>
              </w:rPr>
              <w:t>5</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26,55</w:t>
            </w:r>
            <w:r>
              <w:rPr>
                <w:sz w:val="20"/>
                <w:szCs w:val="20"/>
              </w:rPr>
              <w:t>4</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r>
      <w:tr w:rsidR="00000000">
        <w:trPr>
          <w:divId w:val="1976058418"/>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202</w:t>
            </w:r>
            <w:r>
              <w:rPr>
                <w:sz w:val="20"/>
                <w:szCs w:val="20"/>
              </w:rPr>
              <w:t>6</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21,78</w:t>
            </w:r>
            <w:r>
              <w:rPr>
                <w:sz w:val="20"/>
                <w:szCs w:val="20"/>
              </w:rPr>
              <w:t>5</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r>
      <w:tr w:rsidR="00000000">
        <w:trPr>
          <w:divId w:val="1976058418"/>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2027 and thereafte</w:t>
            </w:r>
            <w:r>
              <w:rPr>
                <w:sz w:val="20"/>
                <w:szCs w:val="20"/>
              </w:rPr>
              <w:t>r</w:t>
            </w:r>
          </w:p>
        </w:tc>
        <w:tc>
          <w:tcPr>
            <w:tcW w:w="0" w:type="auto"/>
            <w:vAlign w:val="bottom"/>
            <w:hideMark/>
          </w:tcPr>
          <w:p w:rsidR="00000000" w:rsidRDefault="00A749A6">
            <w:pPr>
              <w:pStyle w:val="a3"/>
              <w:spacing w:before="0" w:beforeAutospacing="0" w:after="0" w:afterAutospacing="0"/>
              <w:rPr>
                <w:sz w:val="22"/>
                <w:szCs w:val="22"/>
              </w:rPr>
            </w:pPr>
            <w:r>
              <w:rPr>
                <w:sz w:val="22"/>
                <w:szCs w:val="22"/>
              </w:rPr>
              <w:t> </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34,26</w:t>
            </w:r>
            <w:r>
              <w:rPr>
                <w:sz w:val="20"/>
                <w:szCs w:val="20"/>
              </w:rPr>
              <w:t>1</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r>
      <w:tr w:rsidR="00000000">
        <w:trPr>
          <w:divId w:val="1976058418"/>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Total future minimum lease payment</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160,14</w:t>
            </w:r>
            <w:r>
              <w:rPr>
                <w:sz w:val="20"/>
                <w:szCs w:val="20"/>
              </w:rPr>
              <w:t>5</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r>
      <w:tr w:rsidR="00000000">
        <w:trPr>
          <w:divId w:val="1976058418"/>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Less: interes</w:t>
            </w:r>
            <w:r>
              <w:rPr>
                <w:sz w:val="20"/>
                <w:szCs w:val="20"/>
              </w:rPr>
              <w:t>t</w:t>
            </w:r>
          </w:p>
        </w:tc>
        <w:tc>
          <w:tcPr>
            <w:tcW w:w="0" w:type="auto"/>
            <w:vAlign w:val="bottom"/>
            <w:hideMark/>
          </w:tcPr>
          <w:p w:rsidR="00000000" w:rsidRDefault="00A749A6">
            <w:pPr>
              <w:pStyle w:val="a3"/>
              <w:spacing w:before="0" w:beforeAutospacing="0" w:after="0" w:afterAutospacing="0"/>
              <w:rPr>
                <w:sz w:val="22"/>
                <w:szCs w:val="22"/>
              </w:rPr>
            </w:pPr>
            <w:r>
              <w:rPr>
                <w:sz w:val="22"/>
                <w:szCs w:val="22"/>
              </w:rPr>
              <w:t> </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22,54</w:t>
            </w:r>
            <w:r>
              <w:rPr>
                <w:sz w:val="20"/>
                <w:szCs w:val="20"/>
              </w:rPr>
              <w:t>8</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w:t>
            </w:r>
          </w:p>
        </w:tc>
      </w:tr>
      <w:tr w:rsidR="00000000">
        <w:trPr>
          <w:divId w:val="1976058418"/>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Total lease obligation</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w:t>
            </w:r>
          </w:p>
        </w:tc>
        <w:tc>
          <w:tcPr>
            <w:tcW w:w="0" w:type="auto"/>
            <w:vAlign w:val="center"/>
            <w:hideMark/>
          </w:tcPr>
          <w:p w:rsidR="00000000" w:rsidRDefault="00A749A6">
            <w:pPr>
              <w:pStyle w:val="a3"/>
              <w:spacing w:before="0" w:beforeAutospacing="0" w:after="0" w:afterAutospacing="0"/>
              <w:jc w:val="right"/>
              <w:rPr>
                <w:sz w:val="20"/>
                <w:szCs w:val="20"/>
              </w:rPr>
            </w:pPr>
            <w:r>
              <w:rPr>
                <w:sz w:val="20"/>
                <w:szCs w:val="20"/>
              </w:rPr>
              <w:t>137,59</w:t>
            </w:r>
            <w:r>
              <w:rPr>
                <w:sz w:val="20"/>
                <w:szCs w:val="20"/>
              </w:rPr>
              <w:t>7</w:t>
            </w:r>
          </w:p>
        </w:tc>
        <w:tc>
          <w:tcPr>
            <w:tcW w:w="0" w:type="auto"/>
            <w:noWrap/>
            <w:vAlign w:val="center"/>
            <w:hideMark/>
          </w:tcPr>
          <w:p w:rsidR="00000000" w:rsidRDefault="00A749A6">
            <w:pPr>
              <w:pStyle w:val="a3"/>
              <w:spacing w:before="0" w:beforeAutospacing="0" w:after="0" w:afterAutospacing="0"/>
              <w:rPr>
                <w:sz w:val="20"/>
                <w:szCs w:val="20"/>
              </w:rPr>
            </w:pPr>
            <w:r>
              <w:rPr>
                <w:sz w:val="20"/>
                <w:szCs w:val="20"/>
              </w:rPr>
              <w:t> </w:t>
            </w:r>
          </w:p>
        </w:tc>
      </w:tr>
    </w:tbl>
    <w:p w:rsidR="00000000" w:rsidRDefault="00A749A6">
      <w:pPr>
        <w:pStyle w:val="a3"/>
        <w:spacing w:before="0" w:beforeAutospacing="0" w:after="0" w:afterAutospacing="0"/>
        <w:divId w:val="1976058418"/>
        <w:rPr>
          <w:sz w:val="20"/>
          <w:szCs w:val="20"/>
        </w:rPr>
      </w:pPr>
      <w:r>
        <w:rPr>
          <w:sz w:val="20"/>
          <w:szCs w:val="20"/>
        </w:rPr>
        <w:t> </w:t>
      </w:r>
    </w:p>
    <w:p w:rsidR="00000000" w:rsidRDefault="00A749A6">
      <w:pPr>
        <w:pStyle w:val="a3"/>
        <w:spacing w:before="0" w:beforeAutospacing="0" w:after="0" w:afterAutospacing="0"/>
        <w:jc w:val="center"/>
        <w:divId w:val="1976058418"/>
        <w:rPr>
          <w:sz w:val="20"/>
          <w:szCs w:val="20"/>
        </w:rPr>
      </w:pPr>
      <w:r>
        <w:rPr>
          <w:sz w:val="20"/>
          <w:szCs w:val="20"/>
        </w:rPr>
        <w:t> </w:t>
      </w:r>
    </w:p>
    <w:p w:rsidR="00000000" w:rsidRDefault="00A749A6">
      <w:pPr>
        <w:pStyle w:val="a3"/>
        <w:spacing w:before="0" w:beforeAutospacing="0" w:after="0" w:afterAutospacing="0"/>
        <w:jc w:val="center"/>
        <w:divId w:val="1976058418"/>
        <w:rPr>
          <w:sz w:val="20"/>
          <w:szCs w:val="20"/>
        </w:rPr>
      </w:pPr>
      <w:r>
        <w:rPr>
          <w:sz w:val="20"/>
          <w:szCs w:val="20"/>
        </w:rPr>
        <w:t>1</w:t>
      </w:r>
      <w:r>
        <w:rPr>
          <w:sz w:val="20"/>
          <w:szCs w:val="20"/>
        </w:rPr>
        <w:t>5</w:t>
      </w:r>
    </w:p>
    <w:p w:rsidR="00000000" w:rsidRDefault="00A749A6">
      <w:pPr>
        <w:divId w:val="1976058418"/>
        <w:rPr>
          <w:rFonts w:ascii="Calibri" w:eastAsia="Times New Roman" w:hAnsi="Calibri" w:cs="Calibri"/>
          <w:sz w:val="22"/>
          <w:szCs w:val="22"/>
        </w:rPr>
      </w:pPr>
      <w:r>
        <w:rPr>
          <w:rFonts w:ascii="Calibri" w:eastAsia="Times New Roman" w:hAnsi="Calibri" w:cs="Calibri"/>
          <w:sz w:val="22"/>
          <w:szCs w:val="22"/>
        </w:rPr>
        <w:pict>
          <v:rect id="_x0000_i1043" style="width:0;height:1.5pt" o:hralign="center" o:hrstd="t" o:hr="t" fillcolor="#a0a0a0" stroked="f"/>
        </w:pict>
      </w:r>
    </w:p>
    <w:p w:rsidR="00000000" w:rsidRDefault="00A749A6">
      <w:pPr>
        <w:pStyle w:val="a3"/>
        <w:spacing w:before="0" w:beforeAutospacing="0" w:after="0" w:afterAutospacing="0"/>
        <w:divId w:val="1976058418"/>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0" w:beforeAutospacing="0" w:after="0" w:afterAutospacing="0"/>
        <w:jc w:val="both"/>
        <w:rPr>
          <w:sz w:val="20"/>
          <w:szCs w:val="20"/>
        </w:rPr>
      </w:pPr>
      <w:r>
        <w:rPr>
          <w:sz w:val="20"/>
          <w:szCs w:val="20"/>
        </w:rPr>
        <w:t> </w:t>
      </w:r>
    </w:p>
    <w:p w:rsidR="00000000" w:rsidRDefault="00A749A6">
      <w:pPr>
        <w:jc w:val="both"/>
        <w:divId w:val="908734696"/>
        <w:rPr>
          <w:rFonts w:eastAsia="Times New Roman"/>
          <w:sz w:val="20"/>
          <w:szCs w:val="20"/>
        </w:rPr>
      </w:pPr>
      <w:r>
        <w:rPr>
          <w:rFonts w:eastAsia="Times New Roman"/>
          <w:b/>
          <w:bCs/>
          <w:sz w:val="20"/>
          <w:szCs w:val="20"/>
        </w:rPr>
        <w:t>9</w:t>
      </w:r>
      <w:r>
        <w:rPr>
          <w:rFonts w:eastAsia="Times New Roman"/>
          <w:b/>
          <w:bCs/>
          <w:sz w:val="20"/>
          <w:szCs w:val="20"/>
        </w:rPr>
        <w:t>.</w:t>
      </w:r>
    </w:p>
    <w:p w:rsidR="00000000" w:rsidRDefault="00A749A6">
      <w:pPr>
        <w:jc w:val="both"/>
        <w:divId w:val="647978215"/>
        <w:rPr>
          <w:rFonts w:eastAsia="Times New Roman"/>
          <w:sz w:val="20"/>
          <w:szCs w:val="20"/>
        </w:rPr>
      </w:pPr>
      <w:r>
        <w:rPr>
          <w:rFonts w:eastAsia="Times New Roman"/>
          <w:b/>
          <w:bCs/>
          <w:sz w:val="20"/>
          <w:szCs w:val="20"/>
        </w:rPr>
        <w:t>Net Income Per Common Uni</w:t>
      </w:r>
      <w:r>
        <w:rPr>
          <w:rFonts w:eastAsia="Times New Roman"/>
          <w:b/>
          <w:bCs/>
          <w:sz w:val="20"/>
          <w:szCs w:val="20"/>
        </w:rPr>
        <w:t>t</w:t>
      </w:r>
    </w:p>
    <w:p w:rsidR="00000000" w:rsidRDefault="00A749A6">
      <w:pPr>
        <w:pStyle w:val="a3"/>
        <w:spacing w:before="120" w:beforeAutospacing="0" w:after="0" w:afterAutospacing="0"/>
        <w:jc w:val="both"/>
        <w:divId w:val="908734696"/>
        <w:rPr>
          <w:sz w:val="20"/>
          <w:szCs w:val="20"/>
        </w:rPr>
      </w:pPr>
      <w:r>
        <w:rPr>
          <w:sz w:val="20"/>
          <w:szCs w:val="20"/>
        </w:rPr>
        <w:t>Computations of basic income per Common Unit are performed by dividing net income by the weighted average nu</w:t>
      </w:r>
      <w:r>
        <w:rPr>
          <w:sz w:val="20"/>
          <w:szCs w:val="20"/>
        </w:rPr>
        <w:t xml:space="preserve">mber of outstanding Common Units, and vested (and unissued) restricted units granted under the Partnership’s Restricted Unit Plans, as defined below, to retirement-eligible grantees. Computations of diluted income per Common Unit are performed by dividing </w:t>
      </w:r>
      <w:r>
        <w:rPr>
          <w:sz w:val="20"/>
          <w:szCs w:val="20"/>
        </w:rPr>
        <w:t>net income by the weighted average number of outstanding Common Units and unissued restricted units granted under the Restricted Unit Plans. In computing diluted net income per Common Unit, weighted average units outstanding used to compute basic net incom</w:t>
      </w:r>
      <w:r>
        <w:rPr>
          <w:sz w:val="20"/>
          <w:szCs w:val="20"/>
        </w:rPr>
        <w:t>e per Common Unit were increased by</w:t>
      </w:r>
      <w:r>
        <w:rPr>
          <w:sz w:val="20"/>
          <w:szCs w:val="20"/>
        </w:rPr>
        <w:t xml:space="preserve"> </w:t>
      </w:r>
      <w:r>
        <w:rPr>
          <w:sz w:val="20"/>
          <w:szCs w:val="20"/>
        </w:rPr>
        <w:t>633,12</w:t>
      </w:r>
      <w:r>
        <w:rPr>
          <w:sz w:val="20"/>
          <w:szCs w:val="20"/>
        </w:rPr>
        <w:t>5</w:t>
      </w:r>
      <w:r>
        <w:rPr>
          <w:sz w:val="20"/>
          <w:szCs w:val="20"/>
        </w:rPr>
        <w:t xml:space="preserve"> and</w:t>
      </w:r>
      <w:r>
        <w:rPr>
          <w:sz w:val="20"/>
          <w:szCs w:val="20"/>
        </w:rPr>
        <w:t xml:space="preserve"> </w:t>
      </w:r>
      <w:r>
        <w:rPr>
          <w:sz w:val="20"/>
          <w:szCs w:val="20"/>
        </w:rPr>
        <w:t>464,59</w:t>
      </w:r>
      <w:r>
        <w:rPr>
          <w:sz w:val="20"/>
          <w:szCs w:val="20"/>
        </w:rPr>
        <w:t>7</w:t>
      </w:r>
      <w:r>
        <w:rPr>
          <w:sz w:val="20"/>
          <w:szCs w:val="20"/>
        </w:rPr>
        <w:t xml:space="preserve"> units for the</w:t>
      </w:r>
      <w:r>
        <w:rPr>
          <w:sz w:val="20"/>
          <w:szCs w:val="20"/>
        </w:rPr>
        <w:t xml:space="preserve"> </w:t>
      </w:r>
      <w:r>
        <w:rPr>
          <w:sz w:val="20"/>
          <w:szCs w:val="20"/>
        </w:rPr>
        <w:t>nine months ended June 25, 2022 and June 26, 2021, respectively, to reflect the potential dilutive effect of the unvested restricted units outstanding using the treasury stock method. Di</w:t>
      </w:r>
      <w:r>
        <w:rPr>
          <w:sz w:val="20"/>
          <w:szCs w:val="20"/>
        </w:rPr>
        <w:t>luted loss per unit for the three months ended June 25, 2022 and June 26, 2021 does not include unvested Restricted Units (See Note 12) as their effect would be anti-dilutive</w:t>
      </w:r>
      <w:r>
        <w:rPr>
          <w:sz w:val="20"/>
          <w:szCs w:val="20"/>
        </w:rPr>
        <w:t>.</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jc w:val="both"/>
        <w:divId w:val="1879202936"/>
        <w:rPr>
          <w:rFonts w:eastAsia="Times New Roman"/>
          <w:sz w:val="20"/>
          <w:szCs w:val="20"/>
        </w:rPr>
      </w:pPr>
      <w:r>
        <w:rPr>
          <w:rFonts w:eastAsia="Times New Roman"/>
          <w:b/>
          <w:bCs/>
          <w:sz w:val="20"/>
          <w:szCs w:val="20"/>
        </w:rPr>
        <w:t>10</w:t>
      </w:r>
      <w:r>
        <w:rPr>
          <w:rFonts w:eastAsia="Times New Roman"/>
          <w:b/>
          <w:bCs/>
          <w:sz w:val="20"/>
          <w:szCs w:val="20"/>
        </w:rPr>
        <w:t>.</w:t>
      </w:r>
    </w:p>
    <w:p w:rsidR="00000000" w:rsidRDefault="00A749A6">
      <w:pPr>
        <w:jc w:val="both"/>
        <w:divId w:val="1507868119"/>
        <w:rPr>
          <w:rFonts w:eastAsia="Times New Roman"/>
          <w:sz w:val="20"/>
          <w:szCs w:val="20"/>
        </w:rPr>
      </w:pPr>
      <w:r>
        <w:rPr>
          <w:rFonts w:eastAsia="Times New Roman"/>
          <w:b/>
          <w:bCs/>
          <w:sz w:val="20"/>
          <w:szCs w:val="20"/>
        </w:rPr>
        <w:t>Long-Term Borrowing</w:t>
      </w:r>
      <w:r>
        <w:rPr>
          <w:rFonts w:eastAsia="Times New Roman"/>
          <w:b/>
          <w:bCs/>
          <w:sz w:val="20"/>
          <w:szCs w:val="20"/>
        </w:rPr>
        <w:t>s</w:t>
      </w:r>
    </w:p>
    <w:p w:rsidR="00000000" w:rsidRDefault="00A749A6">
      <w:pPr>
        <w:pStyle w:val="a3"/>
        <w:spacing w:before="160" w:beforeAutospacing="0" w:after="0" w:afterAutospacing="0"/>
        <w:divId w:val="911159285"/>
        <w:rPr>
          <w:sz w:val="20"/>
          <w:szCs w:val="20"/>
        </w:rPr>
      </w:pPr>
      <w:r>
        <w:rPr>
          <w:sz w:val="20"/>
          <w:szCs w:val="20"/>
        </w:rPr>
        <w:t>Long-term borrowings consist of the following</w:t>
      </w:r>
      <w:r>
        <w:rPr>
          <w:sz w:val="20"/>
          <w:szCs w:val="20"/>
        </w:rPr>
        <w:t>:</w:t>
      </w:r>
    </w:p>
    <w:p w:rsidR="00000000" w:rsidRDefault="00A749A6">
      <w:pPr>
        <w:pStyle w:val="a3"/>
        <w:spacing w:before="0" w:beforeAutospacing="0" w:after="0" w:afterAutospacing="0"/>
        <w:jc w:val="both"/>
        <w:divId w:val="911159285"/>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285"/>
        <w:gridCol w:w="110"/>
        <w:gridCol w:w="160"/>
        <w:gridCol w:w="860"/>
        <w:gridCol w:w="127"/>
        <w:gridCol w:w="110"/>
        <w:gridCol w:w="160"/>
        <w:gridCol w:w="860"/>
        <w:gridCol w:w="142"/>
      </w:tblGrid>
      <w:tr w:rsidR="00000000">
        <w:trPr>
          <w:divId w:val="911159285"/>
          <w:tblCellSpacing w:w="15" w:type="dxa"/>
        </w:trPr>
        <w:tc>
          <w:tcPr>
            <w:tcW w:w="3353" w:type="pct"/>
            <w:vAlign w:val="center"/>
            <w:hideMark/>
          </w:tcPr>
          <w:p w:rsidR="00000000" w:rsidRDefault="00A749A6">
            <w:pPr>
              <w:rPr>
                <w:sz w:val="20"/>
                <w:szCs w:val="20"/>
              </w:rPr>
            </w:pPr>
          </w:p>
        </w:tc>
        <w:tc>
          <w:tcPr>
            <w:tcW w:w="72"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51"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72"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51"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divId w:val="911159285"/>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As o</w:t>
            </w:r>
            <w:r>
              <w:rPr>
                <w:b/>
                <w:bCs/>
                <w:sz w:val="16"/>
                <w:szCs w:val="16"/>
              </w:rPr>
              <w:t>f</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911159285"/>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September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911159285"/>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911159285"/>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5.87</w:t>
            </w:r>
            <w:r>
              <w:rPr>
                <w:sz w:val="20"/>
                <w:szCs w:val="20"/>
              </w:rPr>
              <w:t>5</w:t>
            </w:r>
            <w:r>
              <w:rPr>
                <w:sz w:val="20"/>
                <w:szCs w:val="20"/>
              </w:rPr>
              <w:t>% senior notes due</w:t>
            </w:r>
            <w:r>
              <w:rPr>
                <w:sz w:val="20"/>
                <w:szCs w:val="20"/>
              </w:rPr>
              <w:t xml:space="preserve"> </w:t>
            </w:r>
            <w:r>
              <w:rPr>
                <w:sz w:val="20"/>
                <w:szCs w:val="20"/>
              </w:rPr>
              <w:t>March 1, 202</w:t>
            </w:r>
            <w:r>
              <w:rPr>
                <w:sz w:val="20"/>
                <w:szCs w:val="20"/>
              </w:rPr>
              <w:t>7</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350,00</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350,00</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911159285"/>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5.</w:t>
            </w:r>
            <w:r>
              <w:rPr>
                <w:sz w:val="20"/>
                <w:szCs w:val="20"/>
              </w:rPr>
              <w:t>0</w:t>
            </w:r>
            <w:r>
              <w:rPr>
                <w:sz w:val="20"/>
                <w:szCs w:val="20"/>
              </w:rPr>
              <w:t>% senior notes due</w:t>
            </w:r>
            <w:r>
              <w:rPr>
                <w:sz w:val="20"/>
                <w:szCs w:val="20"/>
              </w:rPr>
              <w:t xml:space="preserve"> </w:t>
            </w:r>
            <w:r>
              <w:rPr>
                <w:sz w:val="20"/>
                <w:szCs w:val="20"/>
              </w:rPr>
              <w:t>June 1, 203</w:t>
            </w:r>
            <w:r>
              <w:rPr>
                <w:sz w:val="20"/>
                <w:szCs w:val="20"/>
              </w:rPr>
              <w:t>1</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650,00</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650,00</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911159285"/>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Revolving Credit Facility, due</w:t>
            </w:r>
            <w:r>
              <w:rPr>
                <w:sz w:val="20"/>
                <w:szCs w:val="20"/>
              </w:rPr>
              <w:t xml:space="preserve"> </w:t>
            </w:r>
            <w:r>
              <w:rPr>
                <w:sz w:val="20"/>
                <w:szCs w:val="20"/>
              </w:rPr>
              <w:t>March 5, 202</w:t>
            </w:r>
            <w:r>
              <w:rPr>
                <w:sz w:val="20"/>
                <w:szCs w:val="20"/>
              </w:rPr>
              <w:t>5</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91,40</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132,00</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911159285"/>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Subtota</w:t>
            </w:r>
            <w:r>
              <w:rPr>
                <w:sz w:val="20"/>
                <w:szCs w:val="20"/>
              </w:rPr>
              <w:t>l</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1,091,40</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1,132,00</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911159285"/>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divId w:val="911159285"/>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Less: unamortized debt issuance cost</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12,70</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13,98</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divId w:val="911159285"/>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1,078,70</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1,118,01</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bl>
    <w:p w:rsidR="00000000" w:rsidRDefault="00A749A6">
      <w:pPr>
        <w:pStyle w:val="a3"/>
        <w:spacing w:before="120" w:beforeAutospacing="0" w:after="0" w:afterAutospacing="0"/>
        <w:jc w:val="both"/>
        <w:divId w:val="1926069584"/>
        <w:rPr>
          <w:sz w:val="20"/>
          <w:szCs w:val="20"/>
        </w:rPr>
      </w:pPr>
      <w:r>
        <w:rPr>
          <w:b/>
          <w:bCs/>
          <w:sz w:val="20"/>
          <w:szCs w:val="20"/>
        </w:rPr>
        <w:t>Senior Note</w:t>
      </w:r>
      <w:r>
        <w:rPr>
          <w:b/>
          <w:bCs/>
          <w:sz w:val="20"/>
          <w:szCs w:val="20"/>
        </w:rPr>
        <w:t>s</w:t>
      </w:r>
    </w:p>
    <w:p w:rsidR="00000000" w:rsidRDefault="00A749A6">
      <w:pPr>
        <w:pStyle w:val="a3"/>
        <w:spacing w:before="120" w:beforeAutospacing="0" w:after="0" w:afterAutospacing="0"/>
        <w:jc w:val="both"/>
        <w:divId w:val="1926069584"/>
        <w:rPr>
          <w:sz w:val="20"/>
          <w:szCs w:val="20"/>
        </w:rPr>
      </w:pPr>
      <w:r>
        <w:rPr>
          <w:i/>
          <w:iCs/>
          <w:sz w:val="20"/>
          <w:szCs w:val="20"/>
        </w:rPr>
        <w:t>2027 Senior Notes.</w:t>
      </w:r>
      <w:r>
        <w:rPr>
          <w:i/>
          <w:iCs/>
          <w:sz w:val="20"/>
          <w:szCs w:val="20"/>
        </w:rPr>
        <w:t xml:space="preserve"> </w:t>
      </w:r>
      <w:r>
        <w:rPr>
          <w:sz w:val="20"/>
          <w:szCs w:val="20"/>
        </w:rPr>
        <w:t>On</w:t>
      </w:r>
      <w:r>
        <w:rPr>
          <w:sz w:val="20"/>
          <w:szCs w:val="20"/>
        </w:rPr>
        <w:t xml:space="preserve"> </w:t>
      </w:r>
      <w:r>
        <w:rPr>
          <w:sz w:val="20"/>
          <w:szCs w:val="20"/>
        </w:rPr>
        <w:t>February 14, 201</w:t>
      </w:r>
      <w:r>
        <w:rPr>
          <w:sz w:val="20"/>
          <w:szCs w:val="20"/>
        </w:rPr>
        <w:t>7</w:t>
      </w:r>
      <w:r>
        <w:rPr>
          <w:sz w:val="20"/>
          <w:szCs w:val="20"/>
        </w:rPr>
        <w:t>, the Partnership and its</w:t>
      </w:r>
      <w:r>
        <w:rPr>
          <w:sz w:val="20"/>
          <w:szCs w:val="20"/>
        </w:rPr>
        <w:t xml:space="preserve"> </w:t>
      </w:r>
      <w:r>
        <w:rPr>
          <w:sz w:val="20"/>
          <w:szCs w:val="20"/>
        </w:rPr>
        <w:t>10</w:t>
      </w:r>
      <w:r>
        <w:rPr>
          <w:sz w:val="20"/>
          <w:szCs w:val="20"/>
        </w:rPr>
        <w:t>0</w:t>
      </w:r>
      <w:r>
        <w:rPr>
          <w:sz w:val="20"/>
          <w:szCs w:val="20"/>
        </w:rPr>
        <w:t xml:space="preserve">%-owned subsidiary, Suburban Energy Finance Corp., completed a public offering of </w:t>
      </w:r>
      <w:r>
        <w:rPr>
          <w:sz w:val="20"/>
          <w:szCs w:val="20"/>
        </w:rPr>
        <w:t>$</w:t>
      </w:r>
      <w:r>
        <w:rPr>
          <w:sz w:val="20"/>
          <w:szCs w:val="20"/>
        </w:rPr>
        <w:t>350,00</w:t>
      </w:r>
      <w:r>
        <w:rPr>
          <w:sz w:val="20"/>
          <w:szCs w:val="20"/>
        </w:rPr>
        <w:t>0</w:t>
      </w:r>
      <w:r>
        <w:rPr>
          <w:sz w:val="20"/>
          <w:szCs w:val="20"/>
        </w:rPr>
        <w:t xml:space="preserve"> in aggregate principal amount of</w:t>
      </w:r>
      <w:r>
        <w:rPr>
          <w:sz w:val="20"/>
          <w:szCs w:val="20"/>
        </w:rPr>
        <w:t xml:space="preserve"> </w:t>
      </w:r>
      <w:r>
        <w:rPr>
          <w:sz w:val="20"/>
          <w:szCs w:val="20"/>
        </w:rPr>
        <w:t>5.87</w:t>
      </w:r>
      <w:r>
        <w:rPr>
          <w:sz w:val="20"/>
          <w:szCs w:val="20"/>
        </w:rPr>
        <w:t>5</w:t>
      </w:r>
      <w:r>
        <w:rPr>
          <w:sz w:val="20"/>
          <w:szCs w:val="20"/>
        </w:rPr>
        <w:t>% senior notes due</w:t>
      </w:r>
      <w:r>
        <w:rPr>
          <w:sz w:val="20"/>
          <w:szCs w:val="20"/>
        </w:rPr>
        <w:t xml:space="preserve"> </w:t>
      </w:r>
      <w:r>
        <w:rPr>
          <w:sz w:val="20"/>
          <w:szCs w:val="20"/>
        </w:rPr>
        <w:t>March 1, 202</w:t>
      </w:r>
      <w:r>
        <w:rPr>
          <w:sz w:val="20"/>
          <w:szCs w:val="20"/>
        </w:rPr>
        <w:t>7</w:t>
      </w:r>
      <w:r>
        <w:rPr>
          <w:sz w:val="20"/>
          <w:szCs w:val="20"/>
        </w:rPr>
        <w:t xml:space="preserve"> (the “2027 Se</w:t>
      </w:r>
      <w:r>
        <w:rPr>
          <w:sz w:val="20"/>
          <w:szCs w:val="20"/>
        </w:rPr>
        <w:t>nior Notes”). The 2027 Senior Notes were issued at</w:t>
      </w:r>
      <w:r>
        <w:rPr>
          <w:sz w:val="20"/>
          <w:szCs w:val="20"/>
        </w:rPr>
        <w:t xml:space="preserve"> </w:t>
      </w:r>
      <w:r>
        <w:rPr>
          <w:sz w:val="20"/>
          <w:szCs w:val="20"/>
        </w:rPr>
        <w:t>10</w:t>
      </w:r>
      <w:r>
        <w:rPr>
          <w:sz w:val="20"/>
          <w:szCs w:val="20"/>
        </w:rPr>
        <w:t>0</w:t>
      </w:r>
      <w:r>
        <w:rPr>
          <w:sz w:val="20"/>
          <w:szCs w:val="20"/>
        </w:rPr>
        <w:t xml:space="preserve">% of the principal amount and require semi-annual interest payments in March and September. The net proceeds from the issuance of the 2027 Senior Notes, along with borrowings under the Revolving Credit </w:t>
      </w:r>
      <w:r>
        <w:rPr>
          <w:sz w:val="20"/>
          <w:szCs w:val="20"/>
        </w:rPr>
        <w:t>Facility, were used to repurchase, satisfy and discharge all of the Partnership’s then-outstanding</w:t>
      </w:r>
      <w:r>
        <w:rPr>
          <w:sz w:val="20"/>
          <w:szCs w:val="20"/>
        </w:rPr>
        <w:t xml:space="preserve"> </w:t>
      </w:r>
      <w:r>
        <w:rPr>
          <w:sz w:val="20"/>
          <w:szCs w:val="20"/>
        </w:rPr>
        <w:t>7.37</w:t>
      </w:r>
      <w:r>
        <w:rPr>
          <w:sz w:val="20"/>
          <w:szCs w:val="20"/>
        </w:rPr>
        <w:t>5</w:t>
      </w:r>
      <w:r>
        <w:rPr>
          <w:sz w:val="20"/>
          <w:szCs w:val="20"/>
        </w:rPr>
        <w:t>% senior notes due in 2021</w:t>
      </w:r>
      <w:r>
        <w:rPr>
          <w:sz w:val="20"/>
          <w:szCs w:val="20"/>
        </w:rPr>
        <w:t>.</w:t>
      </w:r>
      <w:r>
        <w:rPr>
          <w:sz w:val="20"/>
          <w:szCs w:val="20"/>
        </w:rPr>
        <w:t xml:space="preserve"> </w:t>
      </w:r>
    </w:p>
    <w:p w:rsidR="00000000" w:rsidRDefault="00A749A6">
      <w:pPr>
        <w:pStyle w:val="a3"/>
        <w:spacing w:before="240" w:beforeAutospacing="0" w:after="0" w:afterAutospacing="0"/>
        <w:jc w:val="both"/>
        <w:divId w:val="1926069584"/>
        <w:rPr>
          <w:sz w:val="20"/>
          <w:szCs w:val="20"/>
        </w:rPr>
      </w:pPr>
      <w:r>
        <w:rPr>
          <w:i/>
          <w:iCs/>
          <w:sz w:val="20"/>
          <w:szCs w:val="20"/>
        </w:rPr>
        <w:t>2031 Senior Note</w:t>
      </w:r>
      <w:r>
        <w:rPr>
          <w:i/>
          <w:iCs/>
          <w:sz w:val="20"/>
          <w:szCs w:val="20"/>
        </w:rPr>
        <w:t>s</w:t>
      </w:r>
      <w:r>
        <w:rPr>
          <w:sz w:val="20"/>
          <w:szCs w:val="20"/>
        </w:rPr>
        <w:t>. On</w:t>
      </w:r>
      <w:r>
        <w:rPr>
          <w:sz w:val="20"/>
          <w:szCs w:val="20"/>
        </w:rPr>
        <w:t xml:space="preserve"> </w:t>
      </w:r>
      <w:r>
        <w:rPr>
          <w:sz w:val="20"/>
          <w:szCs w:val="20"/>
        </w:rPr>
        <w:t>May 24, 202</w:t>
      </w:r>
      <w:r>
        <w:rPr>
          <w:sz w:val="20"/>
          <w:szCs w:val="20"/>
        </w:rPr>
        <w:t>1</w:t>
      </w:r>
      <w:r>
        <w:rPr>
          <w:sz w:val="20"/>
          <w:szCs w:val="20"/>
        </w:rPr>
        <w:t>, the Partnership and its 100%-owned subsidiary, Suburban Energy Finance Corp., completed</w:t>
      </w:r>
      <w:r>
        <w:rPr>
          <w:sz w:val="20"/>
          <w:szCs w:val="20"/>
        </w:rPr>
        <w:t xml:space="preserve"> a private offering of </w:t>
      </w:r>
      <w:r>
        <w:rPr>
          <w:sz w:val="20"/>
          <w:szCs w:val="20"/>
        </w:rPr>
        <w:t>$</w:t>
      </w:r>
      <w:r>
        <w:rPr>
          <w:sz w:val="20"/>
          <w:szCs w:val="20"/>
        </w:rPr>
        <w:t>650,00</w:t>
      </w:r>
      <w:r>
        <w:rPr>
          <w:sz w:val="20"/>
          <w:szCs w:val="20"/>
        </w:rPr>
        <w:t>0</w:t>
      </w:r>
      <w:r>
        <w:rPr>
          <w:sz w:val="20"/>
          <w:szCs w:val="20"/>
        </w:rPr>
        <w:t xml:space="preserve"> in aggregate principal amount of</w:t>
      </w:r>
      <w:r>
        <w:rPr>
          <w:sz w:val="20"/>
          <w:szCs w:val="20"/>
        </w:rPr>
        <w:t xml:space="preserve"> </w:t>
      </w:r>
      <w:r>
        <w:rPr>
          <w:sz w:val="20"/>
          <w:szCs w:val="20"/>
        </w:rPr>
        <w:t>5.</w:t>
      </w:r>
      <w:r>
        <w:rPr>
          <w:sz w:val="20"/>
          <w:szCs w:val="20"/>
        </w:rPr>
        <w:t>0</w:t>
      </w:r>
      <w:r>
        <w:rPr>
          <w:sz w:val="20"/>
          <w:szCs w:val="20"/>
        </w:rPr>
        <w:t>% senior notes due</w:t>
      </w:r>
      <w:r>
        <w:rPr>
          <w:sz w:val="20"/>
          <w:szCs w:val="20"/>
        </w:rPr>
        <w:t xml:space="preserve"> </w:t>
      </w:r>
      <w:r>
        <w:rPr>
          <w:sz w:val="20"/>
          <w:szCs w:val="20"/>
        </w:rPr>
        <w:t>June 1, 203</w:t>
      </w:r>
      <w:r>
        <w:rPr>
          <w:sz w:val="20"/>
          <w:szCs w:val="20"/>
        </w:rPr>
        <w:t>1</w:t>
      </w:r>
      <w:r>
        <w:rPr>
          <w:sz w:val="20"/>
          <w:szCs w:val="20"/>
        </w:rPr>
        <w:t xml:space="preserve"> (the “2031 Senior Notes”) to “qualified institutional buyers,” as defined in Rule 144A under the Securities Act of 1933, as amended (the “Securities Act”), </w:t>
      </w:r>
      <w:r>
        <w:rPr>
          <w:sz w:val="20"/>
          <w:szCs w:val="20"/>
        </w:rPr>
        <w:t>and non-U.S. persons outside the United States under Regulation S under the Securities Act. The 2031 Senior Notes were issued at</w:t>
      </w:r>
      <w:r>
        <w:rPr>
          <w:sz w:val="20"/>
          <w:szCs w:val="20"/>
        </w:rPr>
        <w:t xml:space="preserve"> </w:t>
      </w:r>
      <w:r>
        <w:rPr>
          <w:sz w:val="20"/>
          <w:szCs w:val="20"/>
        </w:rPr>
        <w:t>10</w:t>
      </w:r>
      <w:r>
        <w:rPr>
          <w:sz w:val="20"/>
          <w:szCs w:val="20"/>
        </w:rPr>
        <w:t>0</w:t>
      </w:r>
      <w:r>
        <w:rPr>
          <w:sz w:val="20"/>
          <w:szCs w:val="20"/>
        </w:rPr>
        <w:t>% of the principal amount and require semi-annual interest payments in June and December. The net proceeds from the issuance</w:t>
      </w:r>
      <w:r>
        <w:rPr>
          <w:sz w:val="20"/>
          <w:szCs w:val="20"/>
        </w:rPr>
        <w:t xml:space="preserve"> of the 2031 Senior Notes, along with borrowings under the Revolving Credit Facility, were used to repurchase, satisfy and discharge all of the Partnership’s then-outstanding</w:t>
      </w:r>
      <w:r>
        <w:rPr>
          <w:sz w:val="20"/>
          <w:szCs w:val="20"/>
        </w:rPr>
        <w:t xml:space="preserve"> </w:t>
      </w:r>
      <w:r>
        <w:rPr>
          <w:sz w:val="20"/>
          <w:szCs w:val="20"/>
        </w:rPr>
        <w:t>5.</w:t>
      </w:r>
      <w:r>
        <w:rPr>
          <w:sz w:val="20"/>
          <w:szCs w:val="20"/>
        </w:rPr>
        <w:t>5</w:t>
      </w:r>
      <w:r>
        <w:rPr>
          <w:sz w:val="20"/>
          <w:szCs w:val="20"/>
        </w:rPr>
        <w:t>% senior notes due in 2024 and</w:t>
      </w:r>
      <w:r>
        <w:rPr>
          <w:sz w:val="20"/>
          <w:szCs w:val="20"/>
        </w:rPr>
        <w:t xml:space="preserve"> </w:t>
      </w:r>
      <w:r>
        <w:rPr>
          <w:sz w:val="20"/>
          <w:szCs w:val="20"/>
        </w:rPr>
        <w:t>5.7</w:t>
      </w:r>
      <w:r>
        <w:rPr>
          <w:sz w:val="20"/>
          <w:szCs w:val="20"/>
        </w:rPr>
        <w:t>5</w:t>
      </w:r>
      <w:r>
        <w:rPr>
          <w:sz w:val="20"/>
          <w:szCs w:val="20"/>
        </w:rPr>
        <w:t>% senior notes due in 2025</w:t>
      </w:r>
      <w:r>
        <w:rPr>
          <w:sz w:val="20"/>
          <w:szCs w:val="20"/>
        </w:rPr>
        <w:t>.</w:t>
      </w:r>
    </w:p>
    <w:p w:rsidR="00000000" w:rsidRDefault="00A749A6">
      <w:pPr>
        <w:pStyle w:val="a3"/>
        <w:spacing w:before="240" w:beforeAutospacing="0" w:after="0" w:afterAutospacing="0"/>
        <w:jc w:val="both"/>
        <w:divId w:val="1926069584"/>
        <w:rPr>
          <w:sz w:val="20"/>
          <w:szCs w:val="20"/>
        </w:rPr>
      </w:pPr>
      <w:r>
        <w:rPr>
          <w:sz w:val="20"/>
          <w:szCs w:val="20"/>
        </w:rPr>
        <w:t>The Partnership</w:t>
      </w:r>
      <w:r>
        <w:rPr>
          <w:sz w:val="20"/>
          <w:szCs w:val="20"/>
        </w:rPr>
        <w:t>’s obligations under the 2027 Senior Notes and 2031 Senior Notes (collectively, the “Senior Notes”) are unsecured and rank senior in right of payment to any future subordinated indebtedness and equally in right of payment with any future senior indebtednes</w:t>
      </w:r>
      <w:r>
        <w:rPr>
          <w:sz w:val="20"/>
          <w:szCs w:val="20"/>
        </w:rPr>
        <w:t>s. The Senior Notes are structurally subordinated to, which means they rank effectively behind, any debt and other liabilities of the Operating Partnership. The Partnership is permitted to redeem some or all of the Senior Notes at redemption prices and tim</w:t>
      </w:r>
      <w:r>
        <w:rPr>
          <w:sz w:val="20"/>
          <w:szCs w:val="20"/>
        </w:rPr>
        <w:t>es as specified in the indentures governing the Senior Notes. The Senior Notes each have a change of control provision that would require the Partnership to offer to repurchase the notes at</w:t>
      </w:r>
      <w:r>
        <w:rPr>
          <w:sz w:val="20"/>
          <w:szCs w:val="20"/>
        </w:rPr>
        <w:t xml:space="preserve"> </w:t>
      </w:r>
      <w:r>
        <w:rPr>
          <w:sz w:val="20"/>
          <w:szCs w:val="20"/>
        </w:rPr>
        <w:t>10</w:t>
      </w:r>
      <w:r>
        <w:rPr>
          <w:sz w:val="20"/>
          <w:szCs w:val="20"/>
        </w:rPr>
        <w:t>1</w:t>
      </w:r>
      <w:r>
        <w:rPr>
          <w:sz w:val="20"/>
          <w:szCs w:val="20"/>
        </w:rPr>
        <w:t xml:space="preserve">% of the principal amount repurchased, if a change of control, </w:t>
      </w:r>
      <w:r>
        <w:rPr>
          <w:sz w:val="20"/>
          <w:szCs w:val="20"/>
        </w:rPr>
        <w:t>as defined in the indenture, occurs and is followed by a rating decline (a decrease in the rating of the notes by either Moody’s Investors Service or Standard and Poor’s Rating Group by one or more gradations) within</w:t>
      </w:r>
      <w:r>
        <w:rPr>
          <w:sz w:val="20"/>
          <w:szCs w:val="20"/>
        </w:rPr>
        <w:t xml:space="preserve"> </w:t>
      </w:r>
      <w:r>
        <w:rPr>
          <w:sz w:val="20"/>
          <w:szCs w:val="20"/>
        </w:rPr>
        <w:t>9</w:t>
      </w:r>
      <w:r>
        <w:rPr>
          <w:sz w:val="20"/>
          <w:szCs w:val="20"/>
        </w:rPr>
        <w:t>0</w:t>
      </w:r>
      <w:r>
        <w:rPr>
          <w:sz w:val="20"/>
          <w:szCs w:val="20"/>
        </w:rPr>
        <w:t xml:space="preserve"> days of the consummation of the chan</w:t>
      </w:r>
      <w:r>
        <w:rPr>
          <w:sz w:val="20"/>
          <w:szCs w:val="20"/>
        </w:rPr>
        <w:t>ge of control</w:t>
      </w:r>
      <w:r>
        <w:rPr>
          <w:sz w:val="20"/>
          <w:szCs w:val="20"/>
        </w:rPr>
        <w:t>.</w:t>
      </w:r>
    </w:p>
    <w:p w:rsidR="00000000" w:rsidRDefault="00A749A6">
      <w:pPr>
        <w:pStyle w:val="a3"/>
        <w:spacing w:before="240" w:beforeAutospacing="0" w:after="0" w:afterAutospacing="0"/>
        <w:jc w:val="both"/>
        <w:divId w:val="1926069584"/>
        <w:rPr>
          <w:sz w:val="20"/>
          <w:szCs w:val="20"/>
        </w:rPr>
      </w:pPr>
      <w:r>
        <w:rPr>
          <w:b/>
          <w:bCs/>
          <w:sz w:val="20"/>
          <w:szCs w:val="20"/>
        </w:rPr>
        <w:t>Credit Agreement.</w:t>
      </w:r>
      <w:r>
        <w:rPr>
          <w:b/>
          <w:bCs/>
          <w:sz w:val="20"/>
          <w:szCs w:val="20"/>
        </w:rPr>
        <w:t xml:space="preserve"> </w:t>
      </w:r>
      <w:r>
        <w:rPr>
          <w:sz w:val="20"/>
          <w:szCs w:val="20"/>
        </w:rPr>
        <w:t xml:space="preserve">The Operating Partnership has an amended and restated credit agreement dated March 5, 2020 (the “Credit Agreement”) that provides for a </w:t>
      </w:r>
      <w:r>
        <w:rPr>
          <w:sz w:val="20"/>
          <w:szCs w:val="20"/>
        </w:rPr>
        <w:t>$</w:t>
      </w:r>
      <w:r>
        <w:rPr>
          <w:sz w:val="20"/>
          <w:szCs w:val="20"/>
        </w:rPr>
        <w:t>500,00</w:t>
      </w:r>
      <w:r>
        <w:rPr>
          <w:sz w:val="20"/>
          <w:szCs w:val="20"/>
        </w:rPr>
        <w:t>0</w:t>
      </w:r>
      <w:r>
        <w:rPr>
          <w:sz w:val="20"/>
          <w:szCs w:val="20"/>
        </w:rPr>
        <w:t xml:space="preserve"> revolving credit facility (the “Revolving Credit Facility”), of which </w:t>
      </w:r>
      <w:r>
        <w:rPr>
          <w:sz w:val="20"/>
          <w:szCs w:val="20"/>
        </w:rPr>
        <w:t>$</w:t>
      </w:r>
      <w:r>
        <w:rPr>
          <w:sz w:val="20"/>
          <w:szCs w:val="20"/>
        </w:rPr>
        <w:t>91,40</w:t>
      </w:r>
      <w:r>
        <w:rPr>
          <w:sz w:val="20"/>
          <w:szCs w:val="20"/>
        </w:rPr>
        <w:t>0</w:t>
      </w:r>
      <w:r>
        <w:rPr>
          <w:sz w:val="20"/>
          <w:szCs w:val="20"/>
        </w:rPr>
        <w:t xml:space="preserve"> </w:t>
      </w:r>
      <w:r>
        <w:rPr>
          <w:sz w:val="20"/>
          <w:szCs w:val="20"/>
        </w:rPr>
        <w:t xml:space="preserve">and </w:t>
      </w:r>
      <w:r>
        <w:rPr>
          <w:sz w:val="20"/>
          <w:szCs w:val="20"/>
        </w:rPr>
        <w:t>$</w:t>
      </w:r>
      <w:r>
        <w:rPr>
          <w:sz w:val="20"/>
          <w:szCs w:val="20"/>
        </w:rPr>
        <w:t>132,00</w:t>
      </w:r>
      <w:r>
        <w:rPr>
          <w:sz w:val="20"/>
          <w:szCs w:val="20"/>
        </w:rPr>
        <w:t>0</w:t>
      </w:r>
      <w:r>
        <w:rPr>
          <w:sz w:val="20"/>
          <w:szCs w:val="20"/>
        </w:rPr>
        <w:t xml:space="preserve"> was outstanding as of June 25, 2022 and September 25, 2021, respectively. The Revolving Credit Facility matures on</w:t>
      </w:r>
      <w:r>
        <w:rPr>
          <w:sz w:val="20"/>
          <w:szCs w:val="20"/>
        </w:rPr>
        <w:t xml:space="preserve"> </w:t>
      </w:r>
      <w:r>
        <w:rPr>
          <w:sz w:val="20"/>
          <w:szCs w:val="20"/>
        </w:rPr>
        <w:t>March 5, 202</w:t>
      </w:r>
      <w:r>
        <w:rPr>
          <w:sz w:val="20"/>
          <w:szCs w:val="20"/>
        </w:rPr>
        <w:t>5</w:t>
      </w:r>
      <w:r>
        <w:rPr>
          <w:sz w:val="20"/>
          <w:szCs w:val="20"/>
        </w:rPr>
        <w:t>. Borrowings under the Revolving Credit Facility may be used for general corporate purposes, including working capi</w:t>
      </w:r>
      <w:r>
        <w:rPr>
          <w:sz w:val="20"/>
          <w:szCs w:val="20"/>
        </w:rPr>
        <w:t>tal, capital expenditures and acquisitions. The Operating Partnership has the right to prepay any borrowings under the Revolving Credit Facility, in whole or in part, without penalty at any time prior to maturity</w:t>
      </w:r>
      <w:r>
        <w:rPr>
          <w:sz w:val="20"/>
          <w:szCs w:val="20"/>
        </w:rPr>
        <w:t>.</w:t>
      </w:r>
    </w:p>
    <w:p w:rsidR="00000000" w:rsidRDefault="00A749A6">
      <w:pPr>
        <w:pStyle w:val="a3"/>
        <w:spacing w:before="0" w:beforeAutospacing="0" w:after="0" w:afterAutospacing="0"/>
        <w:jc w:val="center"/>
        <w:divId w:val="1926069584"/>
        <w:rPr>
          <w:sz w:val="20"/>
          <w:szCs w:val="20"/>
        </w:rPr>
      </w:pPr>
      <w:r>
        <w:rPr>
          <w:sz w:val="20"/>
          <w:szCs w:val="20"/>
        </w:rPr>
        <w:t> </w:t>
      </w:r>
    </w:p>
    <w:p w:rsidR="00000000" w:rsidRDefault="00A749A6">
      <w:pPr>
        <w:pStyle w:val="a3"/>
        <w:spacing w:before="0" w:beforeAutospacing="0" w:after="0" w:afterAutospacing="0"/>
        <w:jc w:val="center"/>
        <w:divId w:val="1926069584"/>
        <w:rPr>
          <w:sz w:val="20"/>
          <w:szCs w:val="20"/>
        </w:rPr>
      </w:pPr>
      <w:r>
        <w:rPr>
          <w:sz w:val="20"/>
          <w:szCs w:val="20"/>
        </w:rPr>
        <w:t>1</w:t>
      </w:r>
      <w:r>
        <w:rPr>
          <w:sz w:val="20"/>
          <w:szCs w:val="20"/>
        </w:rPr>
        <w:t>6</w:t>
      </w:r>
    </w:p>
    <w:p w:rsidR="00000000" w:rsidRDefault="00A749A6">
      <w:pPr>
        <w:divId w:val="1926069584"/>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A749A6">
      <w:pPr>
        <w:pStyle w:val="a3"/>
        <w:spacing w:before="0" w:beforeAutospacing="0" w:after="0" w:afterAutospacing="0"/>
        <w:divId w:val="1926069584"/>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240" w:beforeAutospacing="0" w:after="0" w:afterAutospacing="0"/>
        <w:jc w:val="both"/>
        <w:divId w:val="1926069584"/>
        <w:rPr>
          <w:sz w:val="20"/>
          <w:szCs w:val="20"/>
        </w:rPr>
      </w:pPr>
      <w:r>
        <w:rPr>
          <w:sz w:val="20"/>
          <w:szCs w:val="20"/>
        </w:rPr>
        <w:t>The Credit Agreement contains certain restrictive and affirmative covenants applicable to the Operating Partnership, its subsidiaries and th</w:t>
      </w:r>
      <w:r>
        <w:rPr>
          <w:sz w:val="20"/>
          <w:szCs w:val="20"/>
        </w:rPr>
        <w:t>e Partnership, as well as certain financial covenants, including (a) requiring the Partnership’s Consolidated Interest Coverage Ratio, as defined in the Credit Agreement, to be not less than</w:t>
      </w:r>
      <w:r>
        <w:rPr>
          <w:sz w:val="20"/>
          <w:szCs w:val="20"/>
        </w:rPr>
        <w:t xml:space="preserve"> </w:t>
      </w:r>
      <w:r>
        <w:rPr>
          <w:sz w:val="20"/>
          <w:szCs w:val="20"/>
        </w:rPr>
        <w:t>2.</w:t>
      </w:r>
      <w:r>
        <w:rPr>
          <w:sz w:val="20"/>
          <w:szCs w:val="20"/>
        </w:rPr>
        <w:t>5</w:t>
      </w:r>
      <w:r>
        <w:rPr>
          <w:sz w:val="20"/>
          <w:szCs w:val="20"/>
        </w:rPr>
        <w:t xml:space="preserve"> to 1.0 as of the end of any fiscal quarter, (b) prohibiting t</w:t>
      </w:r>
      <w:r>
        <w:rPr>
          <w:sz w:val="20"/>
          <w:szCs w:val="20"/>
        </w:rPr>
        <w:t>he Total Consolidated Leverage Ratio, as defined in the Credit Agreement, of the Partnership from being greater than</w:t>
      </w:r>
      <w:r>
        <w:rPr>
          <w:sz w:val="20"/>
          <w:szCs w:val="20"/>
        </w:rPr>
        <w:t xml:space="preserve"> </w:t>
      </w:r>
      <w:r>
        <w:rPr>
          <w:sz w:val="20"/>
          <w:szCs w:val="20"/>
        </w:rPr>
        <w:t>5.7</w:t>
      </w:r>
      <w:r>
        <w:rPr>
          <w:sz w:val="20"/>
          <w:szCs w:val="20"/>
        </w:rPr>
        <w:t>5</w:t>
      </w:r>
      <w:r>
        <w:rPr>
          <w:sz w:val="20"/>
          <w:szCs w:val="20"/>
        </w:rPr>
        <w:t xml:space="preserve"> to 1.0, and (c) prohibiting the Senior Secured Consolidated Leverage Ratio, as defined in the Credit Agreement, of the Operating Partn</w:t>
      </w:r>
      <w:r>
        <w:rPr>
          <w:sz w:val="20"/>
          <w:szCs w:val="20"/>
        </w:rPr>
        <w:t>ership from being greater than</w:t>
      </w:r>
      <w:r>
        <w:rPr>
          <w:sz w:val="20"/>
          <w:szCs w:val="20"/>
        </w:rPr>
        <w:t xml:space="preserve"> </w:t>
      </w:r>
      <w:r>
        <w:rPr>
          <w:sz w:val="20"/>
          <w:szCs w:val="20"/>
        </w:rPr>
        <w:t>3.2</w:t>
      </w:r>
      <w:r>
        <w:rPr>
          <w:sz w:val="20"/>
          <w:szCs w:val="20"/>
        </w:rPr>
        <w:t>5</w:t>
      </w:r>
      <w:r>
        <w:rPr>
          <w:sz w:val="20"/>
          <w:szCs w:val="20"/>
        </w:rPr>
        <w:t xml:space="preserve"> to 1.0 as of the end of any fiscal quarter</w:t>
      </w:r>
      <w:r>
        <w:rPr>
          <w:sz w:val="20"/>
          <w:szCs w:val="20"/>
        </w:rPr>
        <w:t>.</w:t>
      </w:r>
      <w:r>
        <w:rPr>
          <w:sz w:val="20"/>
          <w:szCs w:val="20"/>
        </w:rPr>
        <w:t xml:space="preserve"> </w:t>
      </w:r>
    </w:p>
    <w:p w:rsidR="00000000" w:rsidRDefault="00A749A6">
      <w:pPr>
        <w:pStyle w:val="a3"/>
        <w:spacing w:before="240" w:beforeAutospacing="0" w:after="0" w:afterAutospacing="0"/>
        <w:jc w:val="both"/>
        <w:divId w:val="1926069584"/>
        <w:rPr>
          <w:sz w:val="20"/>
          <w:szCs w:val="20"/>
        </w:rPr>
      </w:pPr>
      <w:r>
        <w:rPr>
          <w:sz w:val="20"/>
          <w:szCs w:val="20"/>
        </w:rPr>
        <w:t>The Partnership and certain subsidiaries of the Operating Partnership act as guarantors with respect to the obligations of the Operating Partnership under the Credit Agreement</w:t>
      </w:r>
      <w:r>
        <w:rPr>
          <w:sz w:val="20"/>
          <w:szCs w:val="20"/>
        </w:rPr>
        <w:t xml:space="preserve"> pursuant to the terms and conditions set forth therein. The obligations under the Credit Agreement are secured by liens on substantially all of the personal property of the Partnership, the Operating Partnership and their subsidiaries, as well as mortgage</w:t>
      </w:r>
      <w:r>
        <w:rPr>
          <w:sz w:val="20"/>
          <w:szCs w:val="20"/>
        </w:rPr>
        <w:t>s on certain real property</w:t>
      </w:r>
      <w:r>
        <w:rPr>
          <w:sz w:val="20"/>
          <w:szCs w:val="20"/>
        </w:rPr>
        <w:t>.</w:t>
      </w:r>
    </w:p>
    <w:p w:rsidR="00000000" w:rsidRDefault="00A749A6">
      <w:pPr>
        <w:pStyle w:val="a3"/>
        <w:spacing w:before="240" w:beforeAutospacing="0" w:after="0" w:afterAutospacing="0"/>
        <w:jc w:val="both"/>
        <w:divId w:val="1926069584"/>
        <w:rPr>
          <w:sz w:val="20"/>
          <w:szCs w:val="20"/>
        </w:rPr>
      </w:pPr>
      <w:r>
        <w:rPr>
          <w:sz w:val="20"/>
          <w:szCs w:val="20"/>
        </w:rPr>
        <w:t>Borrowings under the Revolving Credit Facility bear interest at prevailing interest rates based upon, at the Operating Partnership’s option, LIBOR plus the Applicable Rate, or the base rate, defined as the higher of the</w:t>
      </w:r>
      <w:r>
        <w:rPr>
          <w:sz w:val="20"/>
          <w:szCs w:val="20"/>
        </w:rPr>
        <w:t xml:space="preserve"> </w:t>
      </w:r>
      <w:r>
        <w:rPr>
          <w:sz w:val="20"/>
          <w:szCs w:val="20"/>
        </w:rPr>
        <w:t xml:space="preserve">Federal </w:t>
      </w:r>
      <w:r>
        <w:rPr>
          <w:sz w:val="20"/>
          <w:szCs w:val="20"/>
        </w:rPr>
        <w:t>Funds Rat</w:t>
      </w:r>
      <w:r>
        <w:rPr>
          <w:sz w:val="20"/>
          <w:szCs w:val="20"/>
        </w:rPr>
        <w:t>e</w:t>
      </w:r>
      <w:r>
        <w:rPr>
          <w:sz w:val="20"/>
          <w:szCs w:val="20"/>
        </w:rPr>
        <w:t xml:space="preserve"> plus</w:t>
      </w:r>
      <w:r>
        <w:rPr>
          <w:sz w:val="20"/>
          <w:szCs w:val="20"/>
        </w:rPr>
        <w:t xml:space="preserve"> </w:t>
      </w:r>
      <w:r>
        <w:rPr>
          <w:sz w:val="20"/>
          <w:szCs w:val="20"/>
        </w:rPr>
        <w:t>½ of 1</w:t>
      </w:r>
      <w:r>
        <w:rPr>
          <w:sz w:val="20"/>
          <w:szCs w:val="20"/>
        </w:rPr>
        <w:t>%</w:t>
      </w:r>
      <w:r>
        <w:rPr>
          <w:sz w:val="20"/>
          <w:szCs w:val="20"/>
        </w:rPr>
        <w:t>, the administrative agent bank’s prime rate, or</w:t>
      </w:r>
      <w:r>
        <w:rPr>
          <w:sz w:val="20"/>
          <w:szCs w:val="20"/>
        </w:rPr>
        <w:t xml:space="preserve"> </w:t>
      </w:r>
      <w:r>
        <w:rPr>
          <w:sz w:val="20"/>
          <w:szCs w:val="20"/>
        </w:rPr>
        <w:t>LIBO</w:t>
      </w:r>
      <w:r>
        <w:rPr>
          <w:sz w:val="20"/>
          <w:szCs w:val="20"/>
        </w:rPr>
        <w:t>R</w:t>
      </w:r>
      <w:r>
        <w:rPr>
          <w:sz w:val="20"/>
          <w:szCs w:val="20"/>
        </w:rPr>
        <w:t xml:space="preserve"> plus</w:t>
      </w:r>
      <w:r>
        <w:rPr>
          <w:sz w:val="20"/>
          <w:szCs w:val="20"/>
        </w:rPr>
        <w:t xml:space="preserve"> </w:t>
      </w:r>
      <w:r>
        <w:rPr>
          <w:sz w:val="20"/>
          <w:szCs w:val="20"/>
        </w:rPr>
        <w:t>1</w:t>
      </w:r>
      <w:r>
        <w:rPr>
          <w:sz w:val="20"/>
          <w:szCs w:val="20"/>
        </w:rPr>
        <w:t>%, plus in each case the Applicable Rate. The Applicable Rate is dependent upon the Partnership’s Total Consolidated Leverage Ratio. As of</w:t>
      </w:r>
      <w:r>
        <w:rPr>
          <w:sz w:val="20"/>
          <w:szCs w:val="20"/>
        </w:rPr>
        <w:t xml:space="preserve"> </w:t>
      </w:r>
      <w:r>
        <w:rPr>
          <w:sz w:val="20"/>
          <w:szCs w:val="20"/>
        </w:rPr>
        <w:t>June 25, 202</w:t>
      </w:r>
      <w:r>
        <w:rPr>
          <w:sz w:val="20"/>
          <w:szCs w:val="20"/>
        </w:rPr>
        <w:t>2</w:t>
      </w:r>
      <w:r>
        <w:rPr>
          <w:sz w:val="20"/>
          <w:szCs w:val="20"/>
        </w:rPr>
        <w:t xml:space="preserve">, the interest rate </w:t>
      </w:r>
      <w:r>
        <w:rPr>
          <w:sz w:val="20"/>
          <w:szCs w:val="20"/>
        </w:rPr>
        <w:t>for borrowings under the Revolving Credit Facility was approximately</w:t>
      </w:r>
      <w:r>
        <w:rPr>
          <w:sz w:val="20"/>
          <w:szCs w:val="20"/>
        </w:rPr>
        <w:t xml:space="preserve"> </w:t>
      </w:r>
      <w:r>
        <w:rPr>
          <w:sz w:val="20"/>
          <w:szCs w:val="20"/>
        </w:rPr>
        <w:t>4.6</w:t>
      </w:r>
      <w:r>
        <w:rPr>
          <w:sz w:val="20"/>
          <w:szCs w:val="20"/>
        </w:rPr>
        <w:t>2</w:t>
      </w:r>
      <w:r>
        <w:rPr>
          <w:sz w:val="20"/>
          <w:szCs w:val="20"/>
        </w:rPr>
        <w:t>%. The interest rate and the Applicable Rate will be reset following the end of each calendar quarter</w:t>
      </w:r>
      <w:r>
        <w:rPr>
          <w:sz w:val="20"/>
          <w:szCs w:val="20"/>
        </w:rPr>
        <w:t>.</w:t>
      </w:r>
    </w:p>
    <w:p w:rsidR="00000000" w:rsidRDefault="00A749A6">
      <w:pPr>
        <w:pStyle w:val="a3"/>
        <w:spacing w:before="240" w:beforeAutospacing="0" w:after="0" w:afterAutospacing="0"/>
        <w:jc w:val="both"/>
        <w:divId w:val="1926069584"/>
        <w:rPr>
          <w:sz w:val="20"/>
          <w:szCs w:val="20"/>
        </w:rPr>
      </w:pPr>
      <w:r>
        <w:rPr>
          <w:sz w:val="20"/>
          <w:szCs w:val="20"/>
        </w:rPr>
        <w:t xml:space="preserve">As of June 25, 2022, the Partnership had standby letters of credit issued under </w:t>
      </w:r>
      <w:r>
        <w:rPr>
          <w:sz w:val="20"/>
          <w:szCs w:val="20"/>
        </w:rPr>
        <w:t xml:space="preserve">the Revolving Credit Facility of </w:t>
      </w:r>
      <w:r>
        <w:rPr>
          <w:sz w:val="20"/>
          <w:szCs w:val="20"/>
        </w:rPr>
        <w:t>$</w:t>
      </w:r>
      <w:r>
        <w:rPr>
          <w:sz w:val="20"/>
          <w:szCs w:val="20"/>
        </w:rPr>
        <w:t>48,86</w:t>
      </w:r>
      <w:r>
        <w:rPr>
          <w:sz w:val="20"/>
          <w:szCs w:val="20"/>
        </w:rPr>
        <w:t>2</w:t>
      </w:r>
      <w:r>
        <w:rPr>
          <w:sz w:val="20"/>
          <w:szCs w:val="20"/>
        </w:rPr>
        <w:t xml:space="preserve"> which expire periodically through</w:t>
      </w:r>
      <w:r>
        <w:rPr>
          <w:sz w:val="20"/>
          <w:szCs w:val="20"/>
        </w:rPr>
        <w:t xml:space="preserve"> </w:t>
      </w:r>
      <w:r>
        <w:rPr>
          <w:sz w:val="20"/>
          <w:szCs w:val="20"/>
        </w:rPr>
        <w:t>April 30, 202</w:t>
      </w:r>
      <w:r>
        <w:rPr>
          <w:sz w:val="20"/>
          <w:szCs w:val="20"/>
        </w:rPr>
        <w:t>3</w:t>
      </w:r>
      <w:r>
        <w:rPr>
          <w:sz w:val="20"/>
          <w:szCs w:val="20"/>
        </w:rPr>
        <w:t>.</w:t>
      </w:r>
    </w:p>
    <w:p w:rsidR="00000000" w:rsidRDefault="00A749A6">
      <w:pPr>
        <w:pStyle w:val="a3"/>
        <w:spacing w:before="240" w:beforeAutospacing="0" w:after="0" w:afterAutospacing="0"/>
        <w:jc w:val="both"/>
        <w:divId w:val="1926069584"/>
        <w:rPr>
          <w:sz w:val="20"/>
          <w:szCs w:val="20"/>
        </w:rPr>
      </w:pPr>
      <w:r>
        <w:rPr>
          <w:sz w:val="20"/>
          <w:szCs w:val="20"/>
        </w:rPr>
        <w:t>The Credit Agreement and the Senior Notes both contain various restrictive and affirmative covenants applicable to the Operating Partnership, its subsidiaries and th</w:t>
      </w:r>
      <w:r>
        <w:rPr>
          <w:sz w:val="20"/>
          <w:szCs w:val="20"/>
        </w:rPr>
        <w:t>e Partnership, respectively, including (i) restrictions on the incurrence of additional indebtedness, and (ii) restrictions on certain liens, investments, guarantees, loans, advances, payments, mergers, consolidations, distributions, sales of assets and ot</w:t>
      </w:r>
      <w:r>
        <w:rPr>
          <w:sz w:val="20"/>
          <w:szCs w:val="20"/>
        </w:rPr>
        <w:t>her transactions. Under the Credit Agreement and the indentures governing the Senior Notes, the Operating Partnership and the Partnership are generally permitted to make cash distributions equal to available cash, as defined, as of the end of the immediate</w:t>
      </w:r>
      <w:r>
        <w:rPr>
          <w:sz w:val="20"/>
          <w:szCs w:val="20"/>
        </w:rPr>
        <w:t>ly preceding quarter, if no event of default exists or would exist upon making such distributions, and with respect to the indentures governing the Senior Notes, the Partnership’s Consolidated Fixed Charge Coverage Ratio, as defined, is greater than</w:t>
      </w:r>
      <w:r>
        <w:rPr>
          <w:sz w:val="20"/>
          <w:szCs w:val="20"/>
        </w:rPr>
        <w:t xml:space="preserve"> </w:t>
      </w:r>
      <w:r>
        <w:rPr>
          <w:sz w:val="20"/>
          <w:szCs w:val="20"/>
        </w:rPr>
        <w:t>1.7</w:t>
      </w:r>
      <w:r>
        <w:rPr>
          <w:sz w:val="20"/>
          <w:szCs w:val="20"/>
        </w:rPr>
        <w:t>5</w:t>
      </w:r>
      <w:r>
        <w:rPr>
          <w:sz w:val="20"/>
          <w:szCs w:val="20"/>
        </w:rPr>
        <w:t xml:space="preserve"> t</w:t>
      </w:r>
      <w:r>
        <w:rPr>
          <w:sz w:val="20"/>
          <w:szCs w:val="20"/>
        </w:rPr>
        <w:t>o 1. The Partnership and the Operating Partnership were in compliance with all covenants and terms of the Senior Notes and the Credit Agreement as of</w:t>
      </w:r>
      <w:r>
        <w:rPr>
          <w:sz w:val="20"/>
          <w:szCs w:val="20"/>
        </w:rPr>
        <w:t xml:space="preserve"> </w:t>
      </w:r>
      <w:r>
        <w:rPr>
          <w:sz w:val="20"/>
          <w:szCs w:val="20"/>
        </w:rPr>
        <w:t>June 25, 2022</w:t>
      </w:r>
      <w:r>
        <w:rPr>
          <w:sz w:val="20"/>
          <w:szCs w:val="20"/>
        </w:rPr>
        <w:t>.</w:t>
      </w:r>
    </w:p>
    <w:p w:rsidR="00000000" w:rsidRDefault="00A749A6">
      <w:pPr>
        <w:pStyle w:val="a3"/>
        <w:spacing w:before="240" w:beforeAutospacing="0" w:after="0" w:afterAutospacing="0"/>
        <w:jc w:val="both"/>
        <w:divId w:val="1926069584"/>
        <w:rPr>
          <w:sz w:val="20"/>
          <w:szCs w:val="20"/>
        </w:rPr>
      </w:pPr>
      <w:r>
        <w:rPr>
          <w:sz w:val="20"/>
          <w:szCs w:val="20"/>
        </w:rPr>
        <w:t>The aggregate amounts of long-term debt maturities subsequent to June 25, 202</w:t>
      </w:r>
      <w:r>
        <w:rPr>
          <w:sz w:val="20"/>
          <w:szCs w:val="20"/>
        </w:rPr>
        <w:t>2</w:t>
      </w:r>
      <w:r>
        <w:rPr>
          <w:sz w:val="20"/>
          <w:szCs w:val="20"/>
        </w:rPr>
        <w:t xml:space="preserve"> are as follo</w:t>
      </w:r>
      <w:r>
        <w:rPr>
          <w:sz w:val="20"/>
          <w:szCs w:val="20"/>
        </w:rPr>
        <w:t>ws: fiscal 2022: $</w:t>
      </w:r>
      <w:r>
        <w:rPr>
          <w:sz w:val="20"/>
          <w:szCs w:val="20"/>
        </w:rPr>
        <w:t>-</w:t>
      </w:r>
      <w:r>
        <w:rPr>
          <w:sz w:val="20"/>
          <w:szCs w:val="20"/>
        </w:rPr>
        <w:t>0</w:t>
      </w:r>
      <w:r>
        <w:rPr>
          <w:sz w:val="20"/>
          <w:szCs w:val="20"/>
        </w:rPr>
        <w:t>-; fiscal 2023: $</w:t>
      </w:r>
      <w:r>
        <w:rPr>
          <w:sz w:val="20"/>
          <w:szCs w:val="20"/>
        </w:rPr>
        <w:t>-</w:t>
      </w:r>
      <w:r>
        <w:rPr>
          <w:sz w:val="20"/>
          <w:szCs w:val="20"/>
        </w:rPr>
        <w:t>0</w:t>
      </w:r>
      <w:r>
        <w:rPr>
          <w:sz w:val="20"/>
          <w:szCs w:val="20"/>
        </w:rPr>
        <w:t>-; fiscal 2024: $</w:t>
      </w:r>
      <w:r>
        <w:rPr>
          <w:sz w:val="20"/>
          <w:szCs w:val="20"/>
        </w:rPr>
        <w:t>-</w:t>
      </w:r>
      <w:r>
        <w:rPr>
          <w:sz w:val="20"/>
          <w:szCs w:val="20"/>
        </w:rPr>
        <w:t>0</w:t>
      </w:r>
      <w:r>
        <w:rPr>
          <w:sz w:val="20"/>
          <w:szCs w:val="20"/>
        </w:rPr>
        <w:t xml:space="preserve">-; fiscal 2025: </w:t>
      </w:r>
      <w:r>
        <w:rPr>
          <w:sz w:val="20"/>
          <w:szCs w:val="20"/>
        </w:rPr>
        <w:t>$</w:t>
      </w:r>
      <w:r>
        <w:rPr>
          <w:sz w:val="20"/>
          <w:szCs w:val="20"/>
        </w:rPr>
        <w:t>91,40</w:t>
      </w:r>
      <w:r>
        <w:rPr>
          <w:sz w:val="20"/>
          <w:szCs w:val="20"/>
        </w:rPr>
        <w:t>0</w:t>
      </w:r>
      <w:r>
        <w:rPr>
          <w:sz w:val="20"/>
          <w:szCs w:val="20"/>
        </w:rPr>
        <w:t>; fiscal 2026: $</w:t>
      </w:r>
      <w:r>
        <w:rPr>
          <w:sz w:val="20"/>
          <w:szCs w:val="20"/>
        </w:rPr>
        <w:t>-</w:t>
      </w:r>
      <w:r>
        <w:rPr>
          <w:sz w:val="20"/>
          <w:szCs w:val="20"/>
        </w:rPr>
        <w:t>0</w:t>
      </w:r>
      <w:r>
        <w:rPr>
          <w:sz w:val="20"/>
          <w:szCs w:val="20"/>
        </w:rPr>
        <w:t xml:space="preserve">-; and thereafter: </w:t>
      </w:r>
      <w:r>
        <w:rPr>
          <w:sz w:val="20"/>
          <w:szCs w:val="20"/>
        </w:rPr>
        <w:t>$</w:t>
      </w:r>
      <w:r>
        <w:rPr>
          <w:sz w:val="20"/>
          <w:szCs w:val="20"/>
        </w:rPr>
        <w:t>1,000,00</w:t>
      </w:r>
      <w:r>
        <w:rPr>
          <w:sz w:val="20"/>
          <w:szCs w:val="20"/>
        </w:rPr>
        <w:t>0</w:t>
      </w:r>
      <w:r>
        <w:rPr>
          <w:sz w:val="20"/>
          <w:szCs w:val="20"/>
        </w:rPr>
        <w:t>.</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jc w:val="both"/>
        <w:divId w:val="327833544"/>
        <w:rPr>
          <w:rFonts w:eastAsia="Times New Roman"/>
          <w:sz w:val="20"/>
          <w:szCs w:val="20"/>
        </w:rPr>
      </w:pPr>
      <w:r>
        <w:rPr>
          <w:rFonts w:eastAsia="Times New Roman"/>
          <w:b/>
          <w:bCs/>
          <w:sz w:val="20"/>
          <w:szCs w:val="20"/>
        </w:rPr>
        <w:t>11</w:t>
      </w:r>
      <w:r>
        <w:rPr>
          <w:rFonts w:eastAsia="Times New Roman"/>
          <w:b/>
          <w:bCs/>
          <w:sz w:val="20"/>
          <w:szCs w:val="20"/>
        </w:rPr>
        <w:t>.</w:t>
      </w:r>
    </w:p>
    <w:p w:rsidR="00000000" w:rsidRDefault="00A749A6">
      <w:pPr>
        <w:jc w:val="both"/>
        <w:divId w:val="76901117"/>
        <w:rPr>
          <w:rFonts w:eastAsia="Times New Roman"/>
          <w:sz w:val="20"/>
          <w:szCs w:val="20"/>
        </w:rPr>
      </w:pPr>
      <w:r>
        <w:rPr>
          <w:rFonts w:eastAsia="Times New Roman"/>
          <w:b/>
          <w:bCs/>
          <w:sz w:val="20"/>
          <w:szCs w:val="20"/>
        </w:rPr>
        <w:t>Distributions of Available Cas</w:t>
      </w:r>
      <w:r>
        <w:rPr>
          <w:rFonts w:eastAsia="Times New Roman"/>
          <w:b/>
          <w:bCs/>
          <w:sz w:val="20"/>
          <w:szCs w:val="20"/>
        </w:rPr>
        <w:t>h</w:t>
      </w:r>
    </w:p>
    <w:p w:rsidR="00000000" w:rsidRDefault="00A749A6">
      <w:pPr>
        <w:pStyle w:val="a3"/>
        <w:spacing w:before="120" w:beforeAutospacing="0" w:after="0" w:afterAutospacing="0"/>
        <w:jc w:val="both"/>
        <w:divId w:val="784470376"/>
        <w:rPr>
          <w:sz w:val="20"/>
          <w:szCs w:val="20"/>
        </w:rPr>
      </w:pPr>
      <w:r>
        <w:rPr>
          <w:sz w:val="20"/>
          <w:szCs w:val="20"/>
        </w:rPr>
        <w:t>The Partnership makes distributions to its partners no later than</w:t>
      </w:r>
      <w:r>
        <w:rPr>
          <w:sz w:val="20"/>
          <w:szCs w:val="20"/>
        </w:rPr>
        <w:t xml:space="preserve"> </w:t>
      </w:r>
      <w:r>
        <w:rPr>
          <w:sz w:val="20"/>
          <w:szCs w:val="20"/>
        </w:rPr>
        <w:t>4</w:t>
      </w:r>
      <w:r>
        <w:rPr>
          <w:sz w:val="20"/>
          <w:szCs w:val="20"/>
        </w:rPr>
        <w:t>5</w:t>
      </w:r>
      <w:r>
        <w:rPr>
          <w:sz w:val="20"/>
          <w:szCs w:val="20"/>
        </w:rPr>
        <w:t xml:space="preserve"> days after the end </w:t>
      </w:r>
      <w:r>
        <w:rPr>
          <w:sz w:val="20"/>
          <w:szCs w:val="20"/>
        </w:rPr>
        <w:t>of each fiscal quarter in an aggregate amount equal to its Available Cash for such quarter. Available Cash, as defined in the Partnership Agreement, generally means all cash on hand at the end of the respective fiscal quarter less the amount of cash reserv</w:t>
      </w:r>
      <w:r>
        <w:rPr>
          <w:sz w:val="20"/>
          <w:szCs w:val="20"/>
        </w:rPr>
        <w:t xml:space="preserve">es established by the Board of Supervisors in its reasonable discretion for future cash requirements. These reserves are retained for the proper conduct of the Partnership’s business, the payment of debt principal and interest and for distributions during </w:t>
      </w:r>
      <w:r>
        <w:rPr>
          <w:sz w:val="20"/>
          <w:szCs w:val="20"/>
        </w:rPr>
        <w:t>the next four quarters</w:t>
      </w:r>
      <w:r>
        <w:rPr>
          <w:sz w:val="20"/>
          <w:szCs w:val="20"/>
        </w:rPr>
        <w:t>.</w:t>
      </w:r>
    </w:p>
    <w:p w:rsidR="00000000" w:rsidRDefault="00A749A6">
      <w:pPr>
        <w:pStyle w:val="a3"/>
        <w:spacing w:before="240" w:beforeAutospacing="0" w:after="0" w:afterAutospacing="0"/>
        <w:jc w:val="both"/>
        <w:divId w:val="784470376"/>
        <w:rPr>
          <w:sz w:val="20"/>
          <w:szCs w:val="20"/>
        </w:rPr>
      </w:pPr>
      <w:r>
        <w:rPr>
          <w:sz w:val="20"/>
          <w:szCs w:val="20"/>
        </w:rPr>
        <w:t>On</w:t>
      </w:r>
      <w:r>
        <w:rPr>
          <w:sz w:val="20"/>
          <w:szCs w:val="20"/>
        </w:rPr>
        <w:t xml:space="preserve"> </w:t>
      </w:r>
      <w:r>
        <w:rPr>
          <w:sz w:val="20"/>
          <w:szCs w:val="20"/>
        </w:rPr>
        <w:t>July 21, 202</w:t>
      </w:r>
      <w:r>
        <w:rPr>
          <w:sz w:val="20"/>
          <w:szCs w:val="20"/>
        </w:rPr>
        <w:t>2</w:t>
      </w:r>
      <w:r>
        <w:rPr>
          <w:sz w:val="20"/>
          <w:szCs w:val="20"/>
        </w:rPr>
        <w:t>, the Partnership announced a quarterly distribution</w:t>
      </w:r>
      <w:r>
        <w:rPr>
          <w:sz w:val="20"/>
          <w:szCs w:val="20"/>
        </w:rPr>
        <w:t xml:space="preserve"> </w:t>
      </w:r>
      <w:r>
        <w:rPr>
          <w:sz w:val="20"/>
          <w:szCs w:val="20"/>
        </w:rPr>
        <w:t xml:space="preserve">of </w:t>
      </w:r>
      <w:r>
        <w:rPr>
          <w:sz w:val="20"/>
          <w:szCs w:val="20"/>
        </w:rPr>
        <w:t>$</w:t>
      </w:r>
      <w:r>
        <w:rPr>
          <w:sz w:val="20"/>
          <w:szCs w:val="20"/>
        </w:rPr>
        <w:t>0.32</w:t>
      </w:r>
      <w:r>
        <w:rPr>
          <w:sz w:val="20"/>
          <w:szCs w:val="20"/>
        </w:rPr>
        <w:t>5</w:t>
      </w:r>
      <w:r>
        <w:rPr>
          <w:sz w:val="20"/>
          <w:szCs w:val="20"/>
        </w:rPr>
        <w:t xml:space="preserve"> per Common Unit, or </w:t>
      </w:r>
      <w:r>
        <w:rPr>
          <w:sz w:val="20"/>
          <w:szCs w:val="20"/>
        </w:rPr>
        <w:t>$</w:t>
      </w:r>
      <w:r>
        <w:rPr>
          <w:sz w:val="20"/>
          <w:szCs w:val="20"/>
        </w:rPr>
        <w:t>1.3</w:t>
      </w:r>
      <w:r>
        <w:rPr>
          <w:sz w:val="20"/>
          <w:szCs w:val="20"/>
        </w:rPr>
        <w:t>0</w:t>
      </w:r>
      <w:r>
        <w:rPr>
          <w:sz w:val="20"/>
          <w:szCs w:val="20"/>
        </w:rPr>
        <w:t xml:space="preserve"> </w:t>
      </w:r>
      <w:r>
        <w:rPr>
          <w:sz w:val="20"/>
          <w:szCs w:val="20"/>
        </w:rPr>
        <w:t>p</w:t>
      </w:r>
      <w:r>
        <w:rPr>
          <w:sz w:val="20"/>
          <w:szCs w:val="20"/>
        </w:rPr>
        <w:t>er Common Unit on an annualized basis, in respect of the thir</w:t>
      </w:r>
      <w:r>
        <w:rPr>
          <w:sz w:val="20"/>
          <w:szCs w:val="20"/>
        </w:rPr>
        <w:t>d</w:t>
      </w:r>
      <w:r>
        <w:rPr>
          <w:sz w:val="20"/>
          <w:szCs w:val="20"/>
        </w:rPr>
        <w:t xml:space="preserve"> quarter of fiscal 2022, payable on</w:t>
      </w:r>
      <w:r>
        <w:rPr>
          <w:sz w:val="20"/>
          <w:szCs w:val="20"/>
        </w:rPr>
        <w:t xml:space="preserve"> </w:t>
      </w:r>
      <w:r>
        <w:rPr>
          <w:sz w:val="20"/>
          <w:szCs w:val="20"/>
        </w:rPr>
        <w:t>August 9, 202</w:t>
      </w:r>
      <w:r>
        <w:rPr>
          <w:sz w:val="20"/>
          <w:szCs w:val="20"/>
        </w:rPr>
        <w:t>2</w:t>
      </w:r>
      <w:r>
        <w:rPr>
          <w:sz w:val="20"/>
          <w:szCs w:val="20"/>
        </w:rPr>
        <w:t xml:space="preserve"> to holders of</w:t>
      </w:r>
      <w:r>
        <w:rPr>
          <w:sz w:val="20"/>
          <w:szCs w:val="20"/>
        </w:rPr>
        <w:t xml:space="preserve"> record on</w:t>
      </w:r>
      <w:r>
        <w:rPr>
          <w:sz w:val="20"/>
          <w:szCs w:val="20"/>
        </w:rPr>
        <w:t xml:space="preserve"> </w:t>
      </w:r>
      <w:r>
        <w:rPr>
          <w:sz w:val="20"/>
          <w:szCs w:val="20"/>
        </w:rPr>
        <w:t>August 2, 202</w:t>
      </w:r>
      <w:r>
        <w:rPr>
          <w:sz w:val="20"/>
          <w:szCs w:val="20"/>
        </w:rPr>
        <w:t>2</w:t>
      </w:r>
      <w:r>
        <w:rPr>
          <w:sz w:val="20"/>
          <w:szCs w:val="20"/>
        </w:rPr>
        <w:t>.</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jc w:val="both"/>
        <w:divId w:val="1324311488"/>
        <w:rPr>
          <w:rFonts w:eastAsia="Times New Roman"/>
        </w:rPr>
      </w:pPr>
      <w:r>
        <w:rPr>
          <w:rFonts w:eastAsia="Times New Roman"/>
          <w:b/>
          <w:bCs/>
          <w:sz w:val="20"/>
          <w:szCs w:val="20"/>
        </w:rPr>
        <w:t>12</w:t>
      </w:r>
      <w:r>
        <w:rPr>
          <w:rFonts w:eastAsia="Times New Roman"/>
          <w:b/>
          <w:bCs/>
          <w:sz w:val="20"/>
          <w:szCs w:val="20"/>
        </w:rPr>
        <w:t>.</w:t>
      </w:r>
    </w:p>
    <w:p w:rsidR="00000000" w:rsidRDefault="00A749A6">
      <w:pPr>
        <w:jc w:val="both"/>
        <w:divId w:val="1404179770"/>
        <w:rPr>
          <w:rFonts w:eastAsia="Times New Roman"/>
        </w:rPr>
      </w:pPr>
      <w:r>
        <w:rPr>
          <w:rFonts w:eastAsia="Times New Roman"/>
          <w:b/>
          <w:bCs/>
          <w:sz w:val="20"/>
          <w:szCs w:val="20"/>
        </w:rPr>
        <w:t>Unit-Based Compensation Arrangement</w:t>
      </w:r>
      <w:r>
        <w:rPr>
          <w:rFonts w:eastAsia="Times New Roman"/>
          <w:b/>
          <w:bCs/>
          <w:sz w:val="20"/>
          <w:szCs w:val="20"/>
        </w:rPr>
        <w:t>s</w:t>
      </w:r>
    </w:p>
    <w:p w:rsidR="00000000" w:rsidRDefault="00A749A6">
      <w:pPr>
        <w:pStyle w:val="a3"/>
        <w:spacing w:before="120" w:beforeAutospacing="0" w:after="0" w:afterAutospacing="0"/>
        <w:jc w:val="both"/>
        <w:divId w:val="1564751166"/>
        <w:rPr>
          <w:sz w:val="20"/>
          <w:szCs w:val="20"/>
        </w:rPr>
      </w:pPr>
      <w:r>
        <w:rPr>
          <w:sz w:val="20"/>
          <w:szCs w:val="20"/>
        </w:rPr>
        <w:t xml:space="preserve">The Partnership recognizes compensation cost over the respective service period for employee services received in exchange for an award of equity, or equity-based compensation, based on </w:t>
      </w:r>
      <w:r>
        <w:rPr>
          <w:sz w:val="20"/>
          <w:szCs w:val="20"/>
        </w:rPr>
        <w:t>the grant date fair value of the award. The Partnership measures liability awards under an equity-based payment arrangement based on remeasurement of the award’s fair value at the conclusion of each interim and annual reporting period until the date of set</w:t>
      </w:r>
      <w:r>
        <w:rPr>
          <w:sz w:val="20"/>
          <w:szCs w:val="20"/>
        </w:rPr>
        <w:t>tlement, taking into consideration the probability that the performance conditions will be satisfied</w:t>
      </w:r>
      <w:r>
        <w:rPr>
          <w:sz w:val="20"/>
          <w:szCs w:val="20"/>
        </w:rPr>
        <w:t>.</w:t>
      </w:r>
    </w:p>
    <w:p w:rsidR="00000000" w:rsidRDefault="00A749A6">
      <w:pPr>
        <w:pStyle w:val="a3"/>
        <w:spacing w:before="240" w:beforeAutospacing="0" w:after="0" w:afterAutospacing="0"/>
        <w:jc w:val="both"/>
        <w:divId w:val="1564751166"/>
        <w:rPr>
          <w:sz w:val="20"/>
          <w:szCs w:val="20"/>
        </w:rPr>
      </w:pPr>
      <w:r>
        <w:rPr>
          <w:b/>
          <w:bCs/>
          <w:sz w:val="20"/>
          <w:szCs w:val="20"/>
        </w:rPr>
        <w:t>Restricted Unit Plans</w:t>
      </w:r>
      <w:r>
        <w:rPr>
          <w:b/>
          <w:bCs/>
          <w:sz w:val="20"/>
          <w:szCs w:val="20"/>
        </w:rPr>
        <w:t>.</w:t>
      </w:r>
      <w:r>
        <w:rPr>
          <w:sz w:val="20"/>
          <w:szCs w:val="20"/>
        </w:rPr>
        <w:t xml:space="preserve"> On July 22, 2009, the Partnership adopted the Suburban Propane Partners, L.P. 2009 Restricted Unit Plan, as amended (the “2009 Rest</w:t>
      </w:r>
      <w:r>
        <w:rPr>
          <w:sz w:val="20"/>
          <w:szCs w:val="20"/>
        </w:rPr>
        <w:t>ricted Unit Plan”), which authorizes the issuance of Common Units to executives, managers and other employees and members of the Board of Supervisors of the Partnership. The total number of Common Units authorized for issuance under the 2009 Restricted Uni</w:t>
      </w:r>
      <w:r>
        <w:rPr>
          <w:sz w:val="20"/>
          <w:szCs w:val="20"/>
        </w:rPr>
        <w:t>t Plan was</w:t>
      </w:r>
      <w:r>
        <w:rPr>
          <w:sz w:val="20"/>
          <w:szCs w:val="20"/>
        </w:rPr>
        <w:t xml:space="preserve"> </w:t>
      </w:r>
      <w:r>
        <w:rPr>
          <w:sz w:val="20"/>
          <w:szCs w:val="20"/>
        </w:rPr>
        <w:t>2,400,00</w:t>
      </w:r>
      <w:r>
        <w:rPr>
          <w:sz w:val="20"/>
          <w:szCs w:val="20"/>
        </w:rPr>
        <w:t>0</w:t>
      </w:r>
      <w:r>
        <w:rPr>
          <w:sz w:val="20"/>
          <w:szCs w:val="20"/>
        </w:rPr>
        <w:t xml:space="preserve"> as</w:t>
      </w:r>
      <w:r>
        <w:rPr>
          <w:sz w:val="20"/>
          <w:szCs w:val="20"/>
        </w:rPr>
        <w:t xml:space="preserve"> </w:t>
      </w:r>
      <w:r>
        <w:rPr>
          <w:sz w:val="20"/>
          <w:szCs w:val="20"/>
        </w:rPr>
        <w:t>of July 31, 2019, the date on which this plan expired. At the Partnership’s Tri-Annual Meeting held on May 15, 2018, the Unitholders approved the Partnership’s 2018 Restricted Unit Plan authorizing the issuanc</w:t>
      </w:r>
      <w:r>
        <w:rPr>
          <w:sz w:val="20"/>
          <w:szCs w:val="20"/>
        </w:rPr>
        <w:t>e</w:t>
      </w:r>
      <w:r>
        <w:rPr>
          <w:sz w:val="20"/>
          <w:szCs w:val="20"/>
        </w:rPr>
        <w:t xml:space="preserve"> </w:t>
      </w:r>
    </w:p>
    <w:p w:rsidR="00000000" w:rsidRDefault="00A749A6">
      <w:pPr>
        <w:pStyle w:val="a3"/>
        <w:spacing w:before="0" w:beforeAutospacing="0" w:after="0" w:afterAutospacing="0"/>
        <w:jc w:val="center"/>
        <w:divId w:val="1564751166"/>
        <w:rPr>
          <w:sz w:val="20"/>
          <w:szCs w:val="20"/>
        </w:rPr>
      </w:pPr>
      <w:r>
        <w:rPr>
          <w:sz w:val="20"/>
          <w:szCs w:val="20"/>
        </w:rPr>
        <w:t> </w:t>
      </w:r>
    </w:p>
    <w:p w:rsidR="00000000" w:rsidRDefault="00A749A6">
      <w:pPr>
        <w:pStyle w:val="a3"/>
        <w:spacing w:before="0" w:beforeAutospacing="0" w:after="0" w:afterAutospacing="0"/>
        <w:jc w:val="center"/>
        <w:divId w:val="1564751166"/>
        <w:rPr>
          <w:sz w:val="20"/>
          <w:szCs w:val="20"/>
        </w:rPr>
      </w:pPr>
      <w:r>
        <w:rPr>
          <w:sz w:val="20"/>
          <w:szCs w:val="20"/>
        </w:rPr>
        <w:t>1</w:t>
      </w:r>
      <w:r>
        <w:rPr>
          <w:sz w:val="20"/>
          <w:szCs w:val="20"/>
        </w:rPr>
        <w:t>7</w:t>
      </w:r>
    </w:p>
    <w:p w:rsidR="00000000" w:rsidRDefault="00A749A6">
      <w:pPr>
        <w:divId w:val="1564751166"/>
        <w:rPr>
          <w:rFonts w:eastAsia="Times New Roman"/>
        </w:rPr>
      </w:pPr>
      <w:r>
        <w:rPr>
          <w:rFonts w:eastAsia="Times New Roman"/>
        </w:rPr>
        <w:pict>
          <v:rect id="_x0000_i1045" style="width:0;height:1.5pt" o:hralign="center" o:hrstd="t" o:hr="t" fillcolor="#a0a0a0" stroked="f"/>
        </w:pict>
      </w:r>
    </w:p>
    <w:p w:rsidR="00000000" w:rsidRDefault="00A749A6">
      <w:pPr>
        <w:pStyle w:val="a3"/>
        <w:spacing w:before="0" w:beforeAutospacing="0" w:after="0" w:afterAutospacing="0"/>
        <w:divId w:val="1564751166"/>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240" w:beforeAutospacing="0" w:after="0" w:afterAutospacing="0"/>
        <w:jc w:val="both"/>
        <w:divId w:val="1564751166"/>
        <w:rPr>
          <w:sz w:val="20"/>
          <w:szCs w:val="20"/>
        </w:rPr>
      </w:pPr>
      <w:r>
        <w:rPr>
          <w:sz w:val="20"/>
          <w:szCs w:val="20"/>
        </w:rPr>
        <w:t>of</w:t>
      </w:r>
      <w:r>
        <w:rPr>
          <w:sz w:val="20"/>
          <w:szCs w:val="20"/>
        </w:rPr>
        <w:t xml:space="preserve"> </w:t>
      </w:r>
      <w:r>
        <w:rPr>
          <w:sz w:val="20"/>
          <w:szCs w:val="20"/>
        </w:rPr>
        <w:t>up to</w:t>
      </w:r>
      <w:r>
        <w:rPr>
          <w:sz w:val="20"/>
          <w:szCs w:val="20"/>
        </w:rPr>
        <w:t xml:space="preserve"> </w:t>
      </w:r>
      <w:r>
        <w:rPr>
          <w:sz w:val="20"/>
          <w:szCs w:val="20"/>
        </w:rPr>
        <w:t>1,800,00</w:t>
      </w:r>
      <w:r>
        <w:rPr>
          <w:sz w:val="20"/>
          <w:szCs w:val="20"/>
        </w:rPr>
        <w:t>0</w:t>
      </w:r>
      <w:r>
        <w:rPr>
          <w:sz w:val="20"/>
          <w:szCs w:val="20"/>
        </w:rPr>
        <w:t xml:space="preserve"> </w:t>
      </w:r>
      <w:r>
        <w:rPr>
          <w:sz w:val="20"/>
          <w:szCs w:val="20"/>
        </w:rPr>
        <w:t>Common Units, which was amended and restated to authorize the issuance of an additional</w:t>
      </w:r>
      <w:r>
        <w:rPr>
          <w:sz w:val="20"/>
          <w:szCs w:val="20"/>
        </w:rPr>
        <w:t xml:space="preserve"> </w:t>
      </w:r>
      <w:r>
        <w:rPr>
          <w:sz w:val="20"/>
          <w:szCs w:val="20"/>
        </w:rPr>
        <w:t>1,725,00</w:t>
      </w:r>
      <w:r>
        <w:rPr>
          <w:sz w:val="20"/>
          <w:szCs w:val="20"/>
        </w:rPr>
        <w:t>0</w:t>
      </w:r>
      <w:r>
        <w:rPr>
          <w:sz w:val="20"/>
          <w:szCs w:val="20"/>
        </w:rPr>
        <w:t xml:space="preserve"> Common Units for a total of</w:t>
      </w:r>
      <w:r>
        <w:rPr>
          <w:sz w:val="20"/>
          <w:szCs w:val="20"/>
        </w:rPr>
        <w:t xml:space="preserve"> </w:t>
      </w:r>
      <w:r>
        <w:rPr>
          <w:sz w:val="20"/>
          <w:szCs w:val="20"/>
        </w:rPr>
        <w:t>3,525,00</w:t>
      </w:r>
      <w:r>
        <w:rPr>
          <w:sz w:val="20"/>
          <w:szCs w:val="20"/>
        </w:rPr>
        <w:t>0</w:t>
      </w:r>
      <w:r>
        <w:rPr>
          <w:sz w:val="20"/>
          <w:szCs w:val="20"/>
        </w:rPr>
        <w:t xml:space="preserve"> Common Units by approval of the Unitholders at the Partnership’s Tri-Annual Meeting held on May 18, 2021 (the “2018 Rest</w:t>
      </w:r>
      <w:r>
        <w:rPr>
          <w:sz w:val="20"/>
          <w:szCs w:val="20"/>
        </w:rPr>
        <w:t xml:space="preserve">ricted Unit Plan” and together with the 2009 Restricted Unit Plan, from which there are still unvested awards outstanding, the “Restricted Unit Plans”). Unless otherwise stipulated by the Compensation Committee of the Partnership’s Board of Supervisors on </w:t>
      </w:r>
      <w:r>
        <w:rPr>
          <w:sz w:val="20"/>
          <w:szCs w:val="20"/>
        </w:rPr>
        <w:t>or before the grant date,</w:t>
      </w:r>
      <w:r>
        <w:rPr>
          <w:sz w:val="20"/>
          <w:szCs w:val="20"/>
        </w:rPr>
        <w:t xml:space="preserve"> </w:t>
      </w:r>
      <w:r>
        <w:rPr>
          <w:sz w:val="20"/>
          <w:szCs w:val="20"/>
        </w:rPr>
        <w:t>33.3</w:t>
      </w:r>
      <w:r>
        <w:rPr>
          <w:sz w:val="20"/>
          <w:szCs w:val="20"/>
        </w:rPr>
        <w:t>3</w:t>
      </w:r>
      <w:r>
        <w:rPr>
          <w:sz w:val="20"/>
          <w:szCs w:val="20"/>
        </w:rPr>
        <w:t>% of all outstanding awards under the Restricted Unit Plans will vest on each of the first three anniversaries of the award grant date. Participants in the Restricted Unit Plans are not eligible to receive quarterly distribut</w:t>
      </w:r>
      <w:r>
        <w:rPr>
          <w:sz w:val="20"/>
          <w:szCs w:val="20"/>
        </w:rPr>
        <w:t>ions on, or vote, their respective restricted units until vested. Restricted units cannot be sold or transferred prior to vesting. The value of each restricted unit is established by the market price of the Common Unit on the date of grant, net of estimate</w:t>
      </w:r>
      <w:r>
        <w:rPr>
          <w:sz w:val="20"/>
          <w:szCs w:val="20"/>
        </w:rPr>
        <w:t>d future distributions during the vesting period. Restricted units are subject to forfeiture in certain circumstances as defined in the Restricted Unit Plans. Compensation expense for the unvested awards is recognized ratably over the vesting periods and i</w:t>
      </w:r>
      <w:r>
        <w:rPr>
          <w:sz w:val="20"/>
          <w:szCs w:val="20"/>
        </w:rPr>
        <w:t>s net of estimated forfeitures</w:t>
      </w:r>
      <w:r>
        <w:rPr>
          <w:sz w:val="20"/>
          <w:szCs w:val="20"/>
        </w:rPr>
        <w:t>.</w:t>
      </w:r>
    </w:p>
    <w:p w:rsidR="00000000" w:rsidRDefault="00A749A6">
      <w:pPr>
        <w:pStyle w:val="a3"/>
        <w:spacing w:before="240" w:beforeAutospacing="0" w:after="0" w:afterAutospacing="0"/>
        <w:jc w:val="both"/>
        <w:divId w:val="1564751166"/>
        <w:rPr>
          <w:sz w:val="20"/>
          <w:szCs w:val="20"/>
        </w:rPr>
      </w:pPr>
      <w:r>
        <w:rPr>
          <w:sz w:val="20"/>
          <w:szCs w:val="20"/>
        </w:rPr>
        <w:t>During the nine months ended June 25, 202</w:t>
      </w:r>
      <w:r>
        <w:rPr>
          <w:sz w:val="20"/>
          <w:szCs w:val="20"/>
        </w:rPr>
        <w:t>2</w:t>
      </w:r>
      <w:r>
        <w:rPr>
          <w:sz w:val="20"/>
          <w:szCs w:val="20"/>
        </w:rPr>
        <w:t>, the Partnership awarded</w:t>
      </w:r>
      <w:r>
        <w:rPr>
          <w:sz w:val="20"/>
          <w:szCs w:val="20"/>
        </w:rPr>
        <w:t xml:space="preserve"> </w:t>
      </w:r>
      <w:r>
        <w:rPr>
          <w:sz w:val="20"/>
          <w:szCs w:val="20"/>
        </w:rPr>
        <w:t>884,65</w:t>
      </w:r>
      <w:r>
        <w:rPr>
          <w:sz w:val="20"/>
          <w:szCs w:val="20"/>
        </w:rPr>
        <w:t>8</w:t>
      </w:r>
      <w:r>
        <w:rPr>
          <w:sz w:val="20"/>
          <w:szCs w:val="20"/>
        </w:rPr>
        <w:t xml:space="preserve"> restricted units under the Restricted Unit Plans at an aggregate grant date fair value of </w:t>
      </w:r>
      <w:r>
        <w:rPr>
          <w:sz w:val="20"/>
          <w:szCs w:val="20"/>
        </w:rPr>
        <w:t>$</w:t>
      </w:r>
      <w:r>
        <w:rPr>
          <w:sz w:val="20"/>
          <w:szCs w:val="20"/>
        </w:rPr>
        <w:t>11,47</w:t>
      </w:r>
      <w:r>
        <w:rPr>
          <w:sz w:val="20"/>
          <w:szCs w:val="20"/>
        </w:rPr>
        <w:t>1</w:t>
      </w:r>
      <w:r>
        <w:rPr>
          <w:sz w:val="20"/>
          <w:szCs w:val="20"/>
        </w:rPr>
        <w:t>.</w:t>
      </w:r>
      <w:r>
        <w:rPr>
          <w:sz w:val="20"/>
          <w:szCs w:val="20"/>
        </w:rPr>
        <w:t xml:space="preserve"> </w:t>
      </w:r>
      <w:r>
        <w:rPr>
          <w:sz w:val="20"/>
          <w:szCs w:val="20"/>
        </w:rPr>
        <w:t>The following is a summary of activity for the Re</w:t>
      </w:r>
      <w:r>
        <w:rPr>
          <w:sz w:val="20"/>
          <w:szCs w:val="20"/>
        </w:rPr>
        <w:t>stricted Unit Plans for the</w:t>
      </w:r>
      <w:r>
        <w:rPr>
          <w:sz w:val="20"/>
          <w:szCs w:val="20"/>
        </w:rPr>
        <w:t xml:space="preserve"> </w:t>
      </w:r>
      <w:r>
        <w:rPr>
          <w:sz w:val="20"/>
          <w:szCs w:val="20"/>
        </w:rPr>
        <w:t>nine months ended June 25, 2022</w:t>
      </w:r>
      <w:r>
        <w:rPr>
          <w:sz w:val="20"/>
          <w:szCs w:val="20"/>
        </w:rPr>
        <w:t>:</w:t>
      </w:r>
    </w:p>
    <w:p w:rsidR="00000000" w:rsidRDefault="00A749A6">
      <w:pPr>
        <w:pStyle w:val="a3"/>
        <w:spacing w:before="0" w:beforeAutospacing="0" w:after="0" w:afterAutospacing="0"/>
        <w:jc w:val="both"/>
        <w:divId w:val="2077239074"/>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429"/>
        <w:gridCol w:w="110"/>
        <w:gridCol w:w="110"/>
        <w:gridCol w:w="860"/>
        <w:gridCol w:w="127"/>
        <w:gridCol w:w="110"/>
        <w:gridCol w:w="160"/>
        <w:gridCol w:w="766"/>
        <w:gridCol w:w="142"/>
      </w:tblGrid>
      <w:tr w:rsidR="00000000">
        <w:trPr>
          <w:divId w:val="2077239074"/>
          <w:tblCellSpacing w:w="15" w:type="dxa"/>
        </w:trPr>
        <w:tc>
          <w:tcPr>
            <w:tcW w:w="3236" w:type="pct"/>
            <w:vAlign w:val="center"/>
            <w:hideMark/>
          </w:tcPr>
          <w:p w:rsidR="00000000" w:rsidRDefault="00A749A6">
            <w:pPr>
              <w:rPr>
                <w:sz w:val="20"/>
                <w:szCs w:val="20"/>
              </w:rPr>
            </w:pPr>
          </w:p>
        </w:tc>
        <w:tc>
          <w:tcPr>
            <w:tcW w:w="71"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83"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71"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836"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divId w:val="2077239074"/>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Weighte</w:t>
            </w:r>
            <w:r>
              <w:rPr>
                <w:b/>
                <w:bCs/>
                <w:sz w:val="16"/>
                <w:szCs w:val="16"/>
              </w:rPr>
              <w:t>d</w:t>
            </w:r>
            <w:r>
              <w:rPr>
                <w:rFonts w:ascii="Calibri" w:hAnsi="Calibri" w:cs="Calibri"/>
                <w:b/>
                <w:bCs/>
                <w:sz w:val="16"/>
                <w:szCs w:val="16"/>
              </w:rPr>
              <w:t xml:space="preserve"> </w:t>
            </w:r>
            <w:r>
              <w:rPr>
                <w:b/>
                <w:bCs/>
                <w:sz w:val="16"/>
                <w:szCs w:val="16"/>
              </w:rPr>
              <w:t>Averag</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2077239074"/>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Restricte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Grant Date Fai</w:t>
            </w:r>
            <w:r>
              <w:rPr>
                <w:b/>
                <w:bCs/>
                <w:sz w:val="16"/>
                <w:szCs w:val="16"/>
              </w:rPr>
              <w:t>r</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2077239074"/>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Unit</w:t>
            </w:r>
            <w:r>
              <w:rPr>
                <w:b/>
                <w:bCs/>
                <w:sz w:val="16"/>
                <w:szCs w:val="16"/>
              </w:rPr>
              <w:t>s</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Value Per Uni</w:t>
            </w:r>
            <w:r>
              <w:rPr>
                <w:b/>
                <w:bCs/>
                <w:sz w:val="16"/>
                <w:szCs w:val="16"/>
              </w:rPr>
              <w:t>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2077239074"/>
          <w:trHeight w:val="200"/>
          <w:tblCellSpacing w:w="15" w:type="dxa"/>
        </w:trPr>
        <w:tc>
          <w:tcPr>
            <w:tcW w:w="0" w:type="auto"/>
            <w:hideMark/>
          </w:tcPr>
          <w:p w:rsidR="00000000" w:rsidRDefault="00A749A6">
            <w:pPr>
              <w:pStyle w:val="a3"/>
              <w:spacing w:before="0" w:beforeAutospacing="0" w:after="0" w:afterAutospacing="0"/>
              <w:rPr>
                <w:sz w:val="20"/>
                <w:szCs w:val="20"/>
              </w:rPr>
            </w:pPr>
            <w:r>
              <w:rPr>
                <w:b/>
                <w:bCs/>
                <w:sz w:val="20"/>
                <w:szCs w:val="20"/>
              </w:rPr>
              <w:t>Outstanding September 25, 202</w:t>
            </w:r>
            <w:r>
              <w:rPr>
                <w:b/>
                <w:bCs/>
                <w:sz w:val="20"/>
                <w:szCs w:val="20"/>
              </w:rPr>
              <w:t>1</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1,231,86</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15.2</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2077239074"/>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Awarde</w:t>
            </w:r>
            <w:r>
              <w:rPr>
                <w:sz w:val="20"/>
                <w:szCs w:val="20"/>
              </w:rPr>
              <w:t>d</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884,65</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12.9</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2077239074"/>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Forfeite</w:t>
            </w:r>
            <w:r>
              <w:rPr>
                <w:sz w:val="20"/>
                <w:szCs w:val="20"/>
              </w:rPr>
              <w:t>d</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12,34</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13.8</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divId w:val="2077239074"/>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Vested</w:t>
            </w:r>
            <w:r>
              <w:rPr>
                <w:sz w:val="20"/>
                <w:szCs w:val="20"/>
              </w:rPr>
              <w:t xml:space="preserve"> </w:t>
            </w:r>
            <w:r>
              <w:rPr>
                <w:sz w:val="14"/>
                <w:szCs w:val="14"/>
              </w:rPr>
              <w:t>(1</w:t>
            </w:r>
            <w:r>
              <w:rPr>
                <w:sz w:val="14"/>
                <w:szCs w:val="14"/>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575,63</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16.3</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divId w:val="2077239074"/>
          <w:trHeight w:val="200"/>
          <w:tblCellSpacing w:w="15" w:type="dxa"/>
        </w:trPr>
        <w:tc>
          <w:tcPr>
            <w:tcW w:w="0" w:type="auto"/>
            <w:hideMark/>
          </w:tcPr>
          <w:p w:rsidR="00000000" w:rsidRDefault="00A749A6">
            <w:pPr>
              <w:pStyle w:val="a3"/>
              <w:spacing w:before="0" w:beforeAutospacing="0" w:after="0" w:afterAutospacing="0"/>
              <w:rPr>
                <w:sz w:val="20"/>
                <w:szCs w:val="20"/>
              </w:rPr>
            </w:pPr>
            <w:r>
              <w:rPr>
                <w:b/>
                <w:bCs/>
                <w:sz w:val="20"/>
                <w:szCs w:val="20"/>
              </w:rPr>
              <w:t>Outstanding June 25, 202</w:t>
            </w:r>
            <w:r>
              <w:rPr>
                <w:b/>
                <w:bCs/>
                <w:sz w:val="20"/>
                <w:szCs w:val="20"/>
              </w:rPr>
              <w:t>2</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1,528,54</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13.5</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bl>
    <w:p w:rsidR="00000000" w:rsidRDefault="00A749A6">
      <w:pPr>
        <w:pStyle w:val="a3"/>
        <w:spacing w:before="0" w:beforeAutospacing="0" w:after="0" w:afterAutospacing="0"/>
        <w:jc w:val="both"/>
        <w:divId w:val="2077239074"/>
        <w:rPr>
          <w:sz w:val="20"/>
          <w:szCs w:val="20"/>
        </w:rPr>
      </w:pPr>
      <w:r>
        <w:rPr>
          <w:sz w:val="20"/>
          <w:szCs w:val="20"/>
        </w:rPr>
        <w:t> </w:t>
      </w:r>
    </w:p>
    <w:p w:rsidR="00000000" w:rsidRDefault="00A749A6">
      <w:pPr>
        <w:jc w:val="both"/>
        <w:divId w:val="1236548091"/>
        <w:rPr>
          <w:rFonts w:eastAsia="Times New Roman"/>
          <w:sz w:val="20"/>
          <w:szCs w:val="20"/>
        </w:rPr>
      </w:pPr>
      <w:r>
        <w:rPr>
          <w:rFonts w:eastAsia="Times New Roman"/>
          <w:sz w:val="20"/>
          <w:szCs w:val="20"/>
        </w:rPr>
        <w:t>(1</w:t>
      </w:r>
      <w:r>
        <w:rPr>
          <w:rFonts w:eastAsia="Times New Roman"/>
          <w:sz w:val="20"/>
          <w:szCs w:val="20"/>
        </w:rPr>
        <w:t>)</w:t>
      </w:r>
    </w:p>
    <w:p w:rsidR="00000000" w:rsidRDefault="00A749A6">
      <w:pPr>
        <w:jc w:val="both"/>
        <w:divId w:val="1412850930"/>
        <w:rPr>
          <w:rFonts w:eastAsia="Times New Roman"/>
          <w:sz w:val="20"/>
          <w:szCs w:val="20"/>
        </w:rPr>
      </w:pPr>
      <w:r>
        <w:rPr>
          <w:rFonts w:eastAsia="Times New Roman"/>
          <w:sz w:val="20"/>
          <w:szCs w:val="20"/>
        </w:rPr>
        <w:t>During fiscal 2022, the Partnership withheld</w:t>
      </w:r>
      <w:r>
        <w:rPr>
          <w:rFonts w:eastAsia="Times New Roman"/>
          <w:sz w:val="20"/>
          <w:szCs w:val="20"/>
        </w:rPr>
        <w:t xml:space="preserve"> </w:t>
      </w:r>
      <w:r>
        <w:rPr>
          <w:rFonts w:eastAsia="Times New Roman"/>
          <w:sz w:val="20"/>
          <w:szCs w:val="20"/>
        </w:rPr>
        <w:t>138,03</w:t>
      </w:r>
      <w:r>
        <w:rPr>
          <w:rFonts w:eastAsia="Times New Roman"/>
          <w:sz w:val="20"/>
          <w:szCs w:val="20"/>
        </w:rPr>
        <w:t>9</w:t>
      </w:r>
      <w:r>
        <w:rPr>
          <w:rFonts w:eastAsia="Times New Roman"/>
          <w:sz w:val="20"/>
          <w:szCs w:val="20"/>
        </w:rPr>
        <w:t xml:space="preserve"> </w:t>
      </w:r>
      <w:r>
        <w:rPr>
          <w:rFonts w:eastAsia="Times New Roman"/>
          <w:sz w:val="20"/>
          <w:szCs w:val="20"/>
        </w:rPr>
        <w:t>Common Units from participants for income tax withholding purposes for those executive officers of the Partnership whose shares of restricted units vested during the period</w:t>
      </w:r>
      <w:r>
        <w:rPr>
          <w:rFonts w:eastAsia="Times New Roman"/>
          <w:sz w:val="20"/>
          <w:szCs w:val="20"/>
        </w:rPr>
        <w:t>.</w:t>
      </w:r>
    </w:p>
    <w:p w:rsidR="00000000" w:rsidRDefault="00A749A6">
      <w:pPr>
        <w:pStyle w:val="a3"/>
        <w:spacing w:before="240" w:beforeAutospacing="0" w:after="0" w:afterAutospacing="0"/>
        <w:jc w:val="both"/>
        <w:divId w:val="1564751166"/>
        <w:rPr>
          <w:sz w:val="20"/>
          <w:szCs w:val="20"/>
        </w:rPr>
      </w:pPr>
      <w:r>
        <w:rPr>
          <w:sz w:val="20"/>
          <w:szCs w:val="20"/>
        </w:rPr>
        <w:t>As of June 25, 202</w:t>
      </w:r>
      <w:r>
        <w:rPr>
          <w:sz w:val="20"/>
          <w:szCs w:val="20"/>
        </w:rPr>
        <w:t>2</w:t>
      </w:r>
      <w:r>
        <w:rPr>
          <w:sz w:val="20"/>
          <w:szCs w:val="20"/>
        </w:rPr>
        <w:t>, unrecognized compensation cost related to unvested restricted</w:t>
      </w:r>
      <w:r>
        <w:rPr>
          <w:sz w:val="20"/>
          <w:szCs w:val="20"/>
        </w:rPr>
        <w:t xml:space="preserve"> units awarded under the Restricted Unit Plans amounted to </w:t>
      </w:r>
      <w:r>
        <w:rPr>
          <w:sz w:val="20"/>
          <w:szCs w:val="20"/>
        </w:rPr>
        <w:t>$</w:t>
      </w:r>
      <w:r>
        <w:rPr>
          <w:sz w:val="20"/>
          <w:szCs w:val="20"/>
        </w:rPr>
        <w:t>6,40</w:t>
      </w:r>
      <w:r>
        <w:rPr>
          <w:sz w:val="20"/>
          <w:szCs w:val="20"/>
        </w:rPr>
        <w:t>0</w:t>
      </w:r>
      <w:r>
        <w:rPr>
          <w:sz w:val="20"/>
          <w:szCs w:val="20"/>
        </w:rPr>
        <w:t>. Compensation cost associated with unvested awards is expected to be recognized over a weighted-average period of approximately</w:t>
      </w:r>
      <w:r>
        <w:rPr>
          <w:sz w:val="20"/>
          <w:szCs w:val="20"/>
        </w:rPr>
        <w:t xml:space="preserve"> </w:t>
      </w:r>
      <w:r>
        <w:rPr>
          <w:sz w:val="20"/>
          <w:szCs w:val="20"/>
        </w:rPr>
        <w:t>one yea</w:t>
      </w:r>
      <w:r>
        <w:rPr>
          <w:sz w:val="20"/>
          <w:szCs w:val="20"/>
        </w:rPr>
        <w:t>r</w:t>
      </w:r>
      <w:r>
        <w:rPr>
          <w:sz w:val="20"/>
          <w:szCs w:val="20"/>
        </w:rPr>
        <w:t xml:space="preserve">. Compensation expense for the Restricted Unit Plans, </w:t>
      </w:r>
      <w:r>
        <w:rPr>
          <w:sz w:val="20"/>
          <w:szCs w:val="20"/>
        </w:rPr>
        <w:t>net of forfeitures, for the</w:t>
      </w:r>
      <w:r>
        <w:rPr>
          <w:sz w:val="20"/>
          <w:szCs w:val="20"/>
        </w:rPr>
        <w:t xml:space="preserve"> </w:t>
      </w:r>
      <w:r>
        <w:rPr>
          <w:sz w:val="20"/>
          <w:szCs w:val="20"/>
        </w:rPr>
        <w:t>three and nine months ended June 25, 202</w:t>
      </w:r>
      <w:r>
        <w:rPr>
          <w:sz w:val="20"/>
          <w:szCs w:val="20"/>
        </w:rPr>
        <w:t>2</w:t>
      </w:r>
      <w:r>
        <w:rPr>
          <w:sz w:val="20"/>
          <w:szCs w:val="20"/>
        </w:rPr>
        <w:t xml:space="preserve"> was </w:t>
      </w:r>
      <w:r>
        <w:rPr>
          <w:sz w:val="20"/>
          <w:szCs w:val="20"/>
        </w:rPr>
        <w:t>$</w:t>
      </w:r>
      <w:r>
        <w:rPr>
          <w:sz w:val="20"/>
          <w:szCs w:val="20"/>
        </w:rPr>
        <w:t>2,81</w:t>
      </w:r>
      <w:r>
        <w:rPr>
          <w:sz w:val="20"/>
          <w:szCs w:val="20"/>
        </w:rPr>
        <w:t>3</w:t>
      </w:r>
      <w:r>
        <w:rPr>
          <w:sz w:val="20"/>
          <w:szCs w:val="20"/>
        </w:rPr>
        <w:t xml:space="preserve"> and </w:t>
      </w:r>
      <w:r>
        <w:rPr>
          <w:sz w:val="20"/>
          <w:szCs w:val="20"/>
        </w:rPr>
        <w:t>$</w:t>
      </w:r>
      <w:r>
        <w:rPr>
          <w:sz w:val="20"/>
          <w:szCs w:val="20"/>
        </w:rPr>
        <w:t>8,42</w:t>
      </w:r>
      <w:r>
        <w:rPr>
          <w:sz w:val="20"/>
          <w:szCs w:val="20"/>
        </w:rPr>
        <w:t>2</w:t>
      </w:r>
      <w:r>
        <w:rPr>
          <w:sz w:val="20"/>
          <w:szCs w:val="20"/>
        </w:rPr>
        <w:t xml:space="preserve">, respectively, and </w:t>
      </w:r>
      <w:r>
        <w:rPr>
          <w:sz w:val="20"/>
          <w:szCs w:val="20"/>
        </w:rPr>
        <w:t>$</w:t>
      </w:r>
      <w:r>
        <w:rPr>
          <w:sz w:val="20"/>
          <w:szCs w:val="20"/>
        </w:rPr>
        <w:t>2,57</w:t>
      </w:r>
      <w:r>
        <w:rPr>
          <w:sz w:val="20"/>
          <w:szCs w:val="20"/>
        </w:rPr>
        <w:t>1</w:t>
      </w:r>
      <w:r>
        <w:rPr>
          <w:sz w:val="20"/>
          <w:szCs w:val="20"/>
        </w:rPr>
        <w:t xml:space="preserve"> and </w:t>
      </w:r>
      <w:r>
        <w:rPr>
          <w:sz w:val="20"/>
          <w:szCs w:val="20"/>
        </w:rPr>
        <w:t>$</w:t>
      </w:r>
      <w:r>
        <w:rPr>
          <w:sz w:val="20"/>
          <w:szCs w:val="20"/>
        </w:rPr>
        <w:t>7,52</w:t>
      </w:r>
      <w:r>
        <w:rPr>
          <w:sz w:val="20"/>
          <w:szCs w:val="20"/>
        </w:rPr>
        <w:t>4</w:t>
      </w:r>
      <w:r>
        <w:rPr>
          <w:sz w:val="20"/>
          <w:szCs w:val="20"/>
        </w:rPr>
        <w:t>, for the</w:t>
      </w:r>
      <w:r>
        <w:rPr>
          <w:sz w:val="20"/>
          <w:szCs w:val="20"/>
        </w:rPr>
        <w:t xml:space="preserve"> </w:t>
      </w:r>
      <w:r>
        <w:rPr>
          <w:sz w:val="20"/>
          <w:szCs w:val="20"/>
        </w:rPr>
        <w:t>three and nine months ended June 26, 2021 respectively</w:t>
      </w:r>
      <w:r>
        <w:rPr>
          <w:sz w:val="20"/>
          <w:szCs w:val="20"/>
        </w:rPr>
        <w:t>.</w:t>
      </w:r>
    </w:p>
    <w:p w:rsidR="00000000" w:rsidRDefault="00A749A6">
      <w:pPr>
        <w:pStyle w:val="a3"/>
        <w:spacing w:before="240" w:beforeAutospacing="0" w:after="0" w:afterAutospacing="0"/>
        <w:jc w:val="both"/>
        <w:divId w:val="1564751166"/>
        <w:rPr>
          <w:sz w:val="20"/>
          <w:szCs w:val="20"/>
        </w:rPr>
      </w:pPr>
      <w:r>
        <w:rPr>
          <w:b/>
          <w:bCs/>
          <w:sz w:val="20"/>
          <w:szCs w:val="20"/>
        </w:rPr>
        <w:t>Distribution Equivalent Rights Plan</w:t>
      </w:r>
      <w:r>
        <w:rPr>
          <w:b/>
          <w:bCs/>
          <w:sz w:val="20"/>
          <w:szCs w:val="20"/>
        </w:rPr>
        <w:t>.</w:t>
      </w:r>
      <w:r>
        <w:rPr>
          <w:sz w:val="20"/>
          <w:szCs w:val="20"/>
        </w:rPr>
        <w:t xml:space="preserve"> </w:t>
      </w:r>
      <w:r>
        <w:rPr>
          <w:sz w:val="20"/>
          <w:szCs w:val="20"/>
        </w:rPr>
        <w:t>On January 17, 2017, the Partnership adopted the Distribution Equivalent Rights Plan (the “DER Plan”), which gives the Compensation Committee of the Partnership’s Board of Supervisors discretion to award distribution eq</w:t>
      </w:r>
      <w:r>
        <w:rPr>
          <w:sz w:val="20"/>
          <w:szCs w:val="20"/>
        </w:rPr>
        <w:t xml:space="preserve">uivalent rights (“DERs”) to executive officers of the Partnership. Once awarded, DERs entitle the grantee to a cash payment each time the Board of Supervisors declares a cash distribution on the Partnership’s Common Units, which cash payment will be equal </w:t>
      </w:r>
      <w:r>
        <w:rPr>
          <w:sz w:val="20"/>
          <w:szCs w:val="20"/>
        </w:rPr>
        <w:t>to an amount calculated by multiplying the number of unvested restricted units which are held by the grantee on the record date of the distribution, by the amount of the declared distribution per Common Unit</w:t>
      </w:r>
      <w:r>
        <w:rPr>
          <w:sz w:val="20"/>
          <w:szCs w:val="20"/>
        </w:rPr>
        <w:t>.</w:t>
      </w:r>
      <w:r>
        <w:rPr>
          <w:sz w:val="20"/>
          <w:szCs w:val="20"/>
        </w:rPr>
        <w:t xml:space="preserve"> Compensation expense recognized under the DER P</w:t>
      </w:r>
      <w:r>
        <w:rPr>
          <w:sz w:val="20"/>
          <w:szCs w:val="20"/>
        </w:rPr>
        <w:t>lan for the</w:t>
      </w:r>
      <w:r>
        <w:rPr>
          <w:sz w:val="20"/>
          <w:szCs w:val="20"/>
        </w:rPr>
        <w:t xml:space="preserve"> </w:t>
      </w:r>
      <w:r>
        <w:rPr>
          <w:sz w:val="20"/>
          <w:szCs w:val="20"/>
        </w:rPr>
        <w:t>three and nine months ended June 25, 202</w:t>
      </w:r>
      <w:r>
        <w:rPr>
          <w:sz w:val="20"/>
          <w:szCs w:val="20"/>
        </w:rPr>
        <w:t>2</w:t>
      </w:r>
      <w:r>
        <w:rPr>
          <w:sz w:val="20"/>
          <w:szCs w:val="20"/>
        </w:rPr>
        <w:t xml:space="preserve"> was </w:t>
      </w:r>
      <w:r>
        <w:rPr>
          <w:sz w:val="20"/>
          <w:szCs w:val="20"/>
        </w:rPr>
        <w:t>$</w:t>
      </w:r>
      <w:r>
        <w:rPr>
          <w:sz w:val="20"/>
          <w:szCs w:val="20"/>
        </w:rPr>
        <w:t>29</w:t>
      </w:r>
      <w:r>
        <w:rPr>
          <w:sz w:val="20"/>
          <w:szCs w:val="20"/>
        </w:rPr>
        <w:t>5</w:t>
      </w:r>
      <w:r>
        <w:rPr>
          <w:sz w:val="20"/>
          <w:szCs w:val="20"/>
        </w:rPr>
        <w:t xml:space="preserve"> and </w:t>
      </w:r>
      <w:r>
        <w:rPr>
          <w:sz w:val="20"/>
          <w:szCs w:val="20"/>
        </w:rPr>
        <w:t>$</w:t>
      </w:r>
      <w:r>
        <w:rPr>
          <w:sz w:val="20"/>
          <w:szCs w:val="20"/>
        </w:rPr>
        <w:t>88</w:t>
      </w:r>
      <w:r>
        <w:rPr>
          <w:sz w:val="20"/>
          <w:szCs w:val="20"/>
        </w:rPr>
        <w:t>9</w:t>
      </w:r>
      <w:r>
        <w:rPr>
          <w:sz w:val="20"/>
          <w:szCs w:val="20"/>
        </w:rPr>
        <w:t xml:space="preserve">, respectively, and </w:t>
      </w:r>
      <w:r>
        <w:rPr>
          <w:sz w:val="20"/>
          <w:szCs w:val="20"/>
        </w:rPr>
        <w:t>$</w:t>
      </w:r>
      <w:r>
        <w:rPr>
          <w:sz w:val="20"/>
          <w:szCs w:val="20"/>
        </w:rPr>
        <w:t>21</w:t>
      </w:r>
      <w:r>
        <w:rPr>
          <w:sz w:val="20"/>
          <w:szCs w:val="20"/>
        </w:rPr>
        <w:t>6</w:t>
      </w:r>
      <w:r>
        <w:rPr>
          <w:sz w:val="20"/>
          <w:szCs w:val="20"/>
        </w:rPr>
        <w:t xml:space="preserve"> and </w:t>
      </w:r>
      <w:r>
        <w:rPr>
          <w:sz w:val="20"/>
          <w:szCs w:val="20"/>
        </w:rPr>
        <w:t>$</w:t>
      </w:r>
      <w:r>
        <w:rPr>
          <w:sz w:val="20"/>
          <w:szCs w:val="20"/>
        </w:rPr>
        <w:t>62</w:t>
      </w:r>
      <w:r>
        <w:rPr>
          <w:sz w:val="20"/>
          <w:szCs w:val="20"/>
        </w:rPr>
        <w:t>9</w:t>
      </w:r>
      <w:r>
        <w:rPr>
          <w:sz w:val="20"/>
          <w:szCs w:val="20"/>
        </w:rPr>
        <w:t xml:space="preserve"> for the</w:t>
      </w:r>
      <w:r>
        <w:rPr>
          <w:sz w:val="20"/>
          <w:szCs w:val="20"/>
        </w:rPr>
        <w:t xml:space="preserve"> </w:t>
      </w:r>
      <w:r>
        <w:rPr>
          <w:sz w:val="20"/>
          <w:szCs w:val="20"/>
        </w:rPr>
        <w:t>three and nine months ended June 26, 2021, respectively</w:t>
      </w:r>
      <w:r>
        <w:rPr>
          <w:sz w:val="20"/>
          <w:szCs w:val="20"/>
        </w:rPr>
        <w:t>.</w:t>
      </w:r>
    </w:p>
    <w:p w:rsidR="00000000" w:rsidRDefault="00A749A6">
      <w:pPr>
        <w:pStyle w:val="a3"/>
        <w:spacing w:before="240" w:beforeAutospacing="0" w:after="0" w:afterAutospacing="0"/>
        <w:jc w:val="both"/>
        <w:divId w:val="1564751166"/>
        <w:rPr>
          <w:sz w:val="20"/>
          <w:szCs w:val="20"/>
        </w:rPr>
      </w:pPr>
      <w:r>
        <w:rPr>
          <w:b/>
          <w:bCs/>
          <w:sz w:val="20"/>
          <w:szCs w:val="20"/>
        </w:rPr>
        <w:t>Long-Term Incentive Plan</w:t>
      </w:r>
      <w:r>
        <w:rPr>
          <w:b/>
          <w:bCs/>
          <w:sz w:val="20"/>
          <w:szCs w:val="20"/>
        </w:rPr>
        <w:t>.</w:t>
      </w:r>
      <w:r>
        <w:rPr>
          <w:sz w:val="20"/>
          <w:szCs w:val="20"/>
        </w:rPr>
        <w:t xml:space="preserve"> On August 6, 2013, the Partnership adopted the 2014 Long-Ter</w:t>
      </w:r>
      <w:r>
        <w:rPr>
          <w:sz w:val="20"/>
          <w:szCs w:val="20"/>
        </w:rPr>
        <w:t>m Incentive Plan (“2014 LTIP”) and on November 10, 2020, the Partnership adopted the 2021 Long-Term Incentive Plan (“2021 LTIP” and together with the 2014 LTIP, “the LTIPs”).</w:t>
      </w:r>
      <w:r>
        <w:rPr>
          <w:sz w:val="20"/>
          <w:szCs w:val="20"/>
        </w:rPr>
        <w:t xml:space="preserve"> </w:t>
      </w:r>
      <w:r>
        <w:rPr>
          <w:sz w:val="20"/>
          <w:szCs w:val="20"/>
        </w:rPr>
        <w:t>The LTIPs are non-qualified, unfunded, long-term incentive plans for executive of</w:t>
      </w:r>
      <w:r>
        <w:rPr>
          <w:sz w:val="20"/>
          <w:szCs w:val="20"/>
        </w:rPr>
        <w:t>ficers and key employees that provide for payment, in the form of cash, of an award of equity-based compensation at the end of a three-year performance period</w:t>
      </w:r>
      <w:r>
        <w:rPr>
          <w:sz w:val="20"/>
          <w:szCs w:val="20"/>
        </w:rPr>
        <w:t>.</w:t>
      </w:r>
      <w:r>
        <w:rPr>
          <w:sz w:val="20"/>
          <w:szCs w:val="20"/>
        </w:rPr>
        <w:t xml:space="preserve"> The 2014 LTIP document governs the terms and conditions of the outstanding fiscal 2020 award and</w:t>
      </w:r>
      <w:r>
        <w:rPr>
          <w:sz w:val="20"/>
          <w:szCs w:val="20"/>
        </w:rPr>
        <w:t xml:space="preserve"> the 2021 LTIP document governs the terms and conditions of the outstanding fiscal 2021 and fiscal 2022 awards and any awards granted in fiscal years thereafter. The level of compensation earned under the 2014 LTIP is based on the Partnership’s average dis</w:t>
      </w:r>
      <w:r>
        <w:rPr>
          <w:sz w:val="20"/>
          <w:szCs w:val="20"/>
        </w:rPr>
        <w:t>tribution coverage ratio over the three-year measurement period. The Partnership’s average distribution coverage ratio is calculated as the Partnership’s average distributable cash flow, as defined by the 2014 LTIP document, for the</w:t>
      </w:r>
      <w:r>
        <w:rPr>
          <w:sz w:val="20"/>
          <w:szCs w:val="20"/>
        </w:rPr>
        <w:t xml:space="preserve"> </w:t>
      </w:r>
      <w:r>
        <w:rPr>
          <w:sz w:val="20"/>
          <w:szCs w:val="20"/>
        </w:rPr>
        <w:t>three year</w:t>
      </w:r>
      <w:r>
        <w:rPr>
          <w:sz w:val="20"/>
          <w:szCs w:val="20"/>
        </w:rPr>
        <w:t>s</w:t>
      </w:r>
      <w:r>
        <w:rPr>
          <w:sz w:val="20"/>
          <w:szCs w:val="20"/>
        </w:rPr>
        <w:t xml:space="preserve"> in the meas</w:t>
      </w:r>
      <w:r>
        <w:rPr>
          <w:sz w:val="20"/>
          <w:szCs w:val="20"/>
        </w:rPr>
        <w:t>urement period, subject to certain adjustments as set forth in the 2014 LTIP document, divided by the amount of annualized cash distributions to be paid by the Partnershi</w:t>
      </w:r>
      <w:r>
        <w:rPr>
          <w:sz w:val="20"/>
          <w:szCs w:val="20"/>
        </w:rPr>
        <w:t>p</w:t>
      </w:r>
      <w:r>
        <w:rPr>
          <w:sz w:val="20"/>
          <w:szCs w:val="20"/>
        </w:rPr>
        <w:t>. The level of compensation earned under the fiscal 2021 award is evaluated using two</w:t>
      </w:r>
      <w:r>
        <w:rPr>
          <w:sz w:val="20"/>
          <w:szCs w:val="20"/>
        </w:rPr>
        <w:t xml:space="preserve"> separate measurement components: (i) 75% weight based on the level of average distributable cash flow of the Partnership over the three-year measurement period; and (ii) 25% weight based on the achievement of certain operating and strategic objectives, se</w:t>
      </w:r>
      <w:r>
        <w:rPr>
          <w:sz w:val="20"/>
          <w:szCs w:val="20"/>
        </w:rPr>
        <w:t>t by the Compensation Committee of the Board of Supervisors, over that award’s three-year measurement period. The level of compensation earned under the fiscal 2022 award, and measurement periods thereafter, is also evaluated using two separate measurement</w:t>
      </w:r>
      <w:r>
        <w:rPr>
          <w:sz w:val="20"/>
          <w:szCs w:val="20"/>
        </w:rPr>
        <w:t xml:space="preserve"> components: (i) 50% weight based on the level of average distributable cash flow of the Partnership over the three-year measurement period; and (ii) 50% weight based on the achievement of certain operating and strategic objectives, set by the Compensation</w:t>
      </w:r>
      <w:r>
        <w:rPr>
          <w:sz w:val="20"/>
          <w:szCs w:val="20"/>
        </w:rPr>
        <w:t xml:space="preserve"> Committee of the Board of Supervisors for that award’s three-year measurement period</w:t>
      </w:r>
      <w:r>
        <w:rPr>
          <w:sz w:val="20"/>
          <w:szCs w:val="20"/>
        </w:rPr>
        <w:t>.</w:t>
      </w:r>
    </w:p>
    <w:p w:rsidR="00000000" w:rsidRDefault="00A749A6">
      <w:pPr>
        <w:pStyle w:val="a3"/>
        <w:spacing w:before="0" w:beforeAutospacing="0" w:after="0" w:afterAutospacing="0"/>
        <w:jc w:val="center"/>
        <w:divId w:val="1564751166"/>
        <w:rPr>
          <w:sz w:val="20"/>
          <w:szCs w:val="20"/>
        </w:rPr>
      </w:pPr>
      <w:r>
        <w:rPr>
          <w:sz w:val="20"/>
          <w:szCs w:val="20"/>
        </w:rPr>
        <w:t> </w:t>
      </w:r>
    </w:p>
    <w:p w:rsidR="00000000" w:rsidRDefault="00A749A6">
      <w:pPr>
        <w:pStyle w:val="a3"/>
        <w:spacing w:before="0" w:beforeAutospacing="0" w:after="0" w:afterAutospacing="0"/>
        <w:jc w:val="center"/>
        <w:divId w:val="1564751166"/>
        <w:rPr>
          <w:sz w:val="20"/>
          <w:szCs w:val="20"/>
        </w:rPr>
      </w:pPr>
      <w:r>
        <w:rPr>
          <w:sz w:val="20"/>
          <w:szCs w:val="20"/>
        </w:rPr>
        <w:t>1</w:t>
      </w:r>
      <w:r>
        <w:rPr>
          <w:sz w:val="20"/>
          <w:szCs w:val="20"/>
        </w:rPr>
        <w:t>8</w:t>
      </w:r>
    </w:p>
    <w:p w:rsidR="00000000" w:rsidRDefault="00A749A6">
      <w:pPr>
        <w:divId w:val="1564751166"/>
        <w:rPr>
          <w:rFonts w:eastAsia="Times New Roman"/>
        </w:rPr>
      </w:pPr>
      <w:r>
        <w:rPr>
          <w:rFonts w:eastAsia="Times New Roman"/>
        </w:rPr>
        <w:pict>
          <v:rect id="_x0000_i1046" style="width:0;height:1.5pt" o:hralign="center" o:hrstd="t" o:hr="t" fillcolor="#a0a0a0" stroked="f"/>
        </w:pict>
      </w:r>
    </w:p>
    <w:p w:rsidR="00000000" w:rsidRDefault="00A749A6">
      <w:pPr>
        <w:pStyle w:val="a3"/>
        <w:spacing w:before="0" w:beforeAutospacing="0" w:after="0" w:afterAutospacing="0"/>
        <w:divId w:val="1564751166"/>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240" w:beforeAutospacing="0" w:after="0" w:afterAutospacing="0"/>
        <w:jc w:val="both"/>
        <w:divId w:val="1564751166"/>
        <w:rPr>
          <w:sz w:val="20"/>
          <w:szCs w:val="20"/>
        </w:rPr>
      </w:pPr>
      <w:r>
        <w:rPr>
          <w:sz w:val="20"/>
          <w:szCs w:val="20"/>
        </w:rPr>
        <w:t>As a result of the quarterly remeasurement of th</w:t>
      </w:r>
      <w:r>
        <w:rPr>
          <w:sz w:val="20"/>
          <w:szCs w:val="20"/>
        </w:rPr>
        <w:t>e liability for awards under the LTIPs, compensation expense recognized for the three and nine months ended June 25, 202</w:t>
      </w:r>
      <w:r>
        <w:rPr>
          <w:sz w:val="20"/>
          <w:szCs w:val="20"/>
        </w:rPr>
        <w:t>2</w:t>
      </w:r>
      <w:r>
        <w:rPr>
          <w:sz w:val="20"/>
          <w:szCs w:val="20"/>
        </w:rPr>
        <w:t xml:space="preserve"> was </w:t>
      </w:r>
      <w:r>
        <w:rPr>
          <w:sz w:val="20"/>
          <w:szCs w:val="20"/>
        </w:rPr>
        <w:t>$</w:t>
      </w:r>
      <w:r>
        <w:rPr>
          <w:sz w:val="20"/>
          <w:szCs w:val="20"/>
        </w:rPr>
        <w:t>2,22</w:t>
      </w:r>
      <w:r>
        <w:rPr>
          <w:sz w:val="20"/>
          <w:szCs w:val="20"/>
        </w:rPr>
        <w:t>7</w:t>
      </w:r>
      <w:r>
        <w:rPr>
          <w:sz w:val="20"/>
          <w:szCs w:val="20"/>
        </w:rPr>
        <w:t xml:space="preserve"> and </w:t>
      </w:r>
      <w:r>
        <w:rPr>
          <w:sz w:val="20"/>
          <w:szCs w:val="20"/>
        </w:rPr>
        <w:t>$</w:t>
      </w:r>
      <w:r>
        <w:rPr>
          <w:sz w:val="20"/>
          <w:szCs w:val="20"/>
        </w:rPr>
        <w:t>5,49</w:t>
      </w:r>
      <w:r>
        <w:rPr>
          <w:sz w:val="20"/>
          <w:szCs w:val="20"/>
        </w:rPr>
        <w:t>9</w:t>
      </w:r>
      <w:r>
        <w:rPr>
          <w:sz w:val="20"/>
          <w:szCs w:val="20"/>
        </w:rPr>
        <w:t xml:space="preserve">, respectively, and </w:t>
      </w:r>
      <w:r>
        <w:rPr>
          <w:sz w:val="20"/>
          <w:szCs w:val="20"/>
        </w:rPr>
        <w:t>$</w:t>
      </w:r>
      <w:r>
        <w:rPr>
          <w:sz w:val="20"/>
          <w:szCs w:val="20"/>
        </w:rPr>
        <w:t>62</w:t>
      </w:r>
      <w:r>
        <w:rPr>
          <w:sz w:val="20"/>
          <w:szCs w:val="20"/>
        </w:rPr>
        <w:t>0</w:t>
      </w:r>
      <w:r>
        <w:rPr>
          <w:sz w:val="20"/>
          <w:szCs w:val="20"/>
        </w:rPr>
        <w:t xml:space="preserve"> and </w:t>
      </w:r>
      <w:r>
        <w:rPr>
          <w:sz w:val="20"/>
          <w:szCs w:val="20"/>
        </w:rPr>
        <w:t>$</w:t>
      </w:r>
      <w:r>
        <w:rPr>
          <w:sz w:val="20"/>
          <w:szCs w:val="20"/>
        </w:rPr>
        <w:t>3,69</w:t>
      </w:r>
      <w:r>
        <w:rPr>
          <w:sz w:val="20"/>
          <w:szCs w:val="20"/>
        </w:rPr>
        <w:t>6</w:t>
      </w:r>
      <w:r>
        <w:rPr>
          <w:sz w:val="20"/>
          <w:szCs w:val="20"/>
        </w:rPr>
        <w:t xml:space="preserve"> for the</w:t>
      </w:r>
      <w:r>
        <w:rPr>
          <w:sz w:val="20"/>
          <w:szCs w:val="20"/>
        </w:rPr>
        <w:t xml:space="preserve"> </w:t>
      </w:r>
      <w:r>
        <w:rPr>
          <w:sz w:val="20"/>
          <w:szCs w:val="20"/>
        </w:rPr>
        <w:t>three and nine months ended June 26, 2021, respectively. As of June 2</w:t>
      </w:r>
      <w:r>
        <w:rPr>
          <w:sz w:val="20"/>
          <w:szCs w:val="20"/>
        </w:rPr>
        <w:t>5, 202</w:t>
      </w:r>
      <w:r>
        <w:rPr>
          <w:sz w:val="20"/>
          <w:szCs w:val="20"/>
        </w:rPr>
        <w:t>2</w:t>
      </w:r>
      <w:r>
        <w:rPr>
          <w:sz w:val="20"/>
          <w:szCs w:val="20"/>
        </w:rPr>
        <w:t xml:space="preserve">, and September 25, 2021, the Partnership had a liability included within accrued employment and benefit costs (or other liabilities, as applicable) of </w:t>
      </w:r>
      <w:r>
        <w:rPr>
          <w:sz w:val="20"/>
          <w:szCs w:val="20"/>
        </w:rPr>
        <w:t>$</w:t>
      </w:r>
      <w:r>
        <w:rPr>
          <w:sz w:val="20"/>
          <w:szCs w:val="20"/>
        </w:rPr>
        <w:t>10,69</w:t>
      </w:r>
      <w:r>
        <w:rPr>
          <w:sz w:val="20"/>
          <w:szCs w:val="20"/>
        </w:rPr>
        <w:t>8</w:t>
      </w:r>
      <w:r>
        <w:rPr>
          <w:sz w:val="20"/>
          <w:szCs w:val="20"/>
        </w:rPr>
        <w:t xml:space="preserve"> and </w:t>
      </w:r>
      <w:r>
        <w:rPr>
          <w:sz w:val="20"/>
          <w:szCs w:val="20"/>
        </w:rPr>
        <w:t>$</w:t>
      </w:r>
      <w:r>
        <w:rPr>
          <w:sz w:val="20"/>
          <w:szCs w:val="20"/>
        </w:rPr>
        <w:t>9,18</w:t>
      </w:r>
      <w:r>
        <w:rPr>
          <w:sz w:val="20"/>
          <w:szCs w:val="20"/>
        </w:rPr>
        <w:t>4</w:t>
      </w:r>
      <w:r>
        <w:rPr>
          <w:sz w:val="20"/>
          <w:szCs w:val="20"/>
        </w:rPr>
        <w:t>, respectively, related to estimated future payments under the LTIPs. In the fi</w:t>
      </w:r>
      <w:r>
        <w:rPr>
          <w:sz w:val="20"/>
          <w:szCs w:val="20"/>
        </w:rPr>
        <w:t xml:space="preserve">rst quarter of fiscal 2022 and 2021, cash payouts totaling </w:t>
      </w:r>
      <w:r>
        <w:rPr>
          <w:sz w:val="20"/>
          <w:szCs w:val="20"/>
        </w:rPr>
        <w:t>$</w:t>
      </w:r>
      <w:r>
        <w:rPr>
          <w:sz w:val="20"/>
          <w:szCs w:val="20"/>
        </w:rPr>
        <w:t>3,98</w:t>
      </w:r>
      <w:r>
        <w:rPr>
          <w:sz w:val="20"/>
          <w:szCs w:val="20"/>
        </w:rPr>
        <w:t>5</w:t>
      </w:r>
      <w:r>
        <w:rPr>
          <w:sz w:val="20"/>
          <w:szCs w:val="20"/>
        </w:rPr>
        <w:t xml:space="preserve"> and </w:t>
      </w:r>
      <w:r>
        <w:rPr>
          <w:sz w:val="20"/>
          <w:szCs w:val="20"/>
        </w:rPr>
        <w:t>$</w:t>
      </w:r>
      <w:r>
        <w:rPr>
          <w:sz w:val="20"/>
          <w:szCs w:val="20"/>
        </w:rPr>
        <w:t>3,35</w:t>
      </w:r>
      <w:r>
        <w:rPr>
          <w:sz w:val="20"/>
          <w:szCs w:val="20"/>
        </w:rPr>
        <w:t>4</w:t>
      </w:r>
      <w:r>
        <w:rPr>
          <w:sz w:val="20"/>
          <w:szCs w:val="20"/>
        </w:rPr>
        <w:t xml:space="preserve"> were made relating to the fiscal 2019 and 2018 awards, respectively</w:t>
      </w:r>
      <w:r>
        <w:rPr>
          <w:sz w:val="20"/>
          <w:szCs w:val="20"/>
        </w:rPr>
        <w:t>.</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jc w:val="both"/>
        <w:divId w:val="514883355"/>
        <w:rPr>
          <w:rFonts w:eastAsia="Times New Roman"/>
          <w:sz w:val="20"/>
          <w:szCs w:val="20"/>
        </w:rPr>
      </w:pPr>
      <w:r>
        <w:rPr>
          <w:rFonts w:eastAsia="Times New Roman"/>
          <w:b/>
          <w:bCs/>
          <w:sz w:val="20"/>
          <w:szCs w:val="20"/>
        </w:rPr>
        <w:t>13</w:t>
      </w:r>
      <w:r>
        <w:rPr>
          <w:rFonts w:eastAsia="Times New Roman"/>
          <w:b/>
          <w:bCs/>
          <w:sz w:val="20"/>
          <w:szCs w:val="20"/>
        </w:rPr>
        <w:t>.</w:t>
      </w:r>
    </w:p>
    <w:p w:rsidR="00000000" w:rsidRDefault="00A749A6">
      <w:pPr>
        <w:jc w:val="both"/>
        <w:divId w:val="592977906"/>
        <w:rPr>
          <w:rFonts w:eastAsia="Times New Roman"/>
          <w:sz w:val="20"/>
          <w:szCs w:val="20"/>
        </w:rPr>
      </w:pPr>
      <w:r>
        <w:rPr>
          <w:rFonts w:eastAsia="Times New Roman"/>
          <w:b/>
          <w:bCs/>
          <w:sz w:val="20"/>
          <w:szCs w:val="20"/>
        </w:rPr>
        <w:t>Commitments and Contingencie</w:t>
      </w:r>
      <w:r>
        <w:rPr>
          <w:rFonts w:eastAsia="Times New Roman"/>
          <w:b/>
          <w:bCs/>
          <w:sz w:val="20"/>
          <w:szCs w:val="20"/>
        </w:rPr>
        <w:t>s</w:t>
      </w:r>
    </w:p>
    <w:p w:rsidR="00000000" w:rsidRDefault="00A749A6">
      <w:pPr>
        <w:pStyle w:val="a3"/>
        <w:spacing w:before="120" w:beforeAutospacing="0" w:after="0" w:afterAutospacing="0"/>
        <w:jc w:val="both"/>
        <w:divId w:val="1475874144"/>
        <w:rPr>
          <w:sz w:val="20"/>
          <w:szCs w:val="20"/>
        </w:rPr>
      </w:pPr>
      <w:r>
        <w:rPr>
          <w:b/>
          <w:bCs/>
          <w:sz w:val="20"/>
          <w:szCs w:val="20"/>
        </w:rPr>
        <w:t>Accrued Insurance</w:t>
      </w:r>
      <w:r>
        <w:rPr>
          <w:b/>
          <w:bCs/>
          <w:sz w:val="20"/>
          <w:szCs w:val="20"/>
        </w:rPr>
        <w:t>.</w:t>
      </w:r>
      <w:r>
        <w:rPr>
          <w:sz w:val="20"/>
          <w:szCs w:val="20"/>
        </w:rPr>
        <w:t xml:space="preserve"> The Partnership is self-insured for general and product</w:t>
      </w:r>
      <w:r>
        <w:rPr>
          <w:sz w:val="20"/>
          <w:szCs w:val="20"/>
        </w:rPr>
        <w:t xml:space="preserve">, workers’ compensation and automobile liabilities up to predetermined amounts above which third party insurance applies. As of June 25, 2022 and September 25, 2021, the Partnership had accrued liabilities of </w:t>
      </w:r>
      <w:r>
        <w:rPr>
          <w:sz w:val="20"/>
          <w:szCs w:val="20"/>
        </w:rPr>
        <w:t>$</w:t>
      </w:r>
      <w:r>
        <w:rPr>
          <w:sz w:val="20"/>
          <w:szCs w:val="20"/>
        </w:rPr>
        <w:t>65,41</w:t>
      </w:r>
      <w:r>
        <w:rPr>
          <w:sz w:val="20"/>
          <w:szCs w:val="20"/>
        </w:rPr>
        <w:t>6</w:t>
      </w:r>
      <w:r>
        <w:rPr>
          <w:sz w:val="20"/>
          <w:szCs w:val="20"/>
        </w:rPr>
        <w:t xml:space="preserve"> and </w:t>
      </w:r>
      <w:r>
        <w:rPr>
          <w:sz w:val="20"/>
          <w:szCs w:val="20"/>
        </w:rPr>
        <w:t>$</w:t>
      </w:r>
      <w:r>
        <w:rPr>
          <w:sz w:val="20"/>
          <w:szCs w:val="20"/>
        </w:rPr>
        <w:t>66,12</w:t>
      </w:r>
      <w:r>
        <w:rPr>
          <w:sz w:val="20"/>
          <w:szCs w:val="20"/>
        </w:rPr>
        <w:t>4</w:t>
      </w:r>
      <w:r>
        <w:rPr>
          <w:sz w:val="20"/>
          <w:szCs w:val="20"/>
        </w:rPr>
        <w:t>, respectively, representing</w:t>
      </w:r>
      <w:r>
        <w:rPr>
          <w:sz w:val="20"/>
          <w:szCs w:val="20"/>
        </w:rPr>
        <w:t xml:space="preserve"> the total estimated losses for known and anticipated or unasserted general and product, workers’ compensation and automobile claims. For the portion of the estimated liability that exceeds insurance deductibles, the Partnership records an asset within oth</w:t>
      </w:r>
      <w:r>
        <w:rPr>
          <w:sz w:val="20"/>
          <w:szCs w:val="20"/>
        </w:rPr>
        <w:t xml:space="preserve">er assets (or prepaid expenses and other current assets, as applicable) related to the amount of the liability expected to be covered by insurance which amounted to </w:t>
      </w:r>
      <w:r>
        <w:rPr>
          <w:sz w:val="20"/>
          <w:szCs w:val="20"/>
        </w:rPr>
        <w:t>$</w:t>
      </w:r>
      <w:r>
        <w:rPr>
          <w:sz w:val="20"/>
          <w:szCs w:val="20"/>
        </w:rPr>
        <w:t>15,74</w:t>
      </w:r>
      <w:r>
        <w:rPr>
          <w:sz w:val="20"/>
          <w:szCs w:val="20"/>
        </w:rPr>
        <w:t>8</w:t>
      </w:r>
      <w:r>
        <w:rPr>
          <w:sz w:val="20"/>
          <w:szCs w:val="20"/>
        </w:rPr>
        <w:t xml:space="preserve"> and </w:t>
      </w:r>
      <w:r>
        <w:rPr>
          <w:sz w:val="20"/>
          <w:szCs w:val="20"/>
        </w:rPr>
        <w:t>$</w:t>
      </w:r>
      <w:r>
        <w:rPr>
          <w:sz w:val="20"/>
          <w:szCs w:val="20"/>
        </w:rPr>
        <w:t>16,10</w:t>
      </w:r>
      <w:r>
        <w:rPr>
          <w:sz w:val="20"/>
          <w:szCs w:val="20"/>
        </w:rPr>
        <w:t>1</w:t>
      </w:r>
      <w:r>
        <w:rPr>
          <w:sz w:val="20"/>
          <w:szCs w:val="20"/>
        </w:rPr>
        <w:t xml:space="preserve"> as of June 25, 2022 and September 25, 2021, respectively</w:t>
      </w:r>
      <w:r>
        <w:rPr>
          <w:sz w:val="20"/>
          <w:szCs w:val="20"/>
        </w:rPr>
        <w:t>.</w:t>
      </w:r>
    </w:p>
    <w:p w:rsidR="00000000" w:rsidRDefault="00A749A6">
      <w:pPr>
        <w:pStyle w:val="a3"/>
        <w:spacing w:before="240" w:beforeAutospacing="0" w:after="0" w:afterAutospacing="0"/>
        <w:jc w:val="both"/>
        <w:divId w:val="1475874144"/>
        <w:rPr>
          <w:sz w:val="20"/>
          <w:szCs w:val="20"/>
        </w:rPr>
      </w:pPr>
      <w:r>
        <w:rPr>
          <w:b/>
          <w:bCs/>
          <w:sz w:val="20"/>
          <w:szCs w:val="20"/>
        </w:rPr>
        <w:t>Legal Matters</w:t>
      </w:r>
      <w:r>
        <w:rPr>
          <w:b/>
          <w:bCs/>
          <w:sz w:val="20"/>
          <w:szCs w:val="20"/>
        </w:rPr>
        <w:t>.</w:t>
      </w:r>
      <w:r>
        <w:rPr>
          <w:sz w:val="20"/>
          <w:szCs w:val="20"/>
        </w:rPr>
        <w:t xml:space="preserve"> The Partnership’s operations are subject to operating hazards and risks normally incidental to handling, storing and delivering combustible liquids such as propane. The Partnership has been, and will continue to be, a defendant in various legal proceedin</w:t>
      </w:r>
      <w:r>
        <w:rPr>
          <w:sz w:val="20"/>
          <w:szCs w:val="20"/>
        </w:rPr>
        <w:t>gs and litigation as a result of these operating hazards and risks, and as a result of other aspects of its business. In this regard, the Partnership’s natural gas and electricity business was a defendant in a putative class action suit in the Northern Dis</w:t>
      </w:r>
      <w:r>
        <w:rPr>
          <w:sz w:val="20"/>
          <w:szCs w:val="20"/>
        </w:rPr>
        <w:t>trict of New York. The complaint alleged a number of claims under various consumer statutes and common law in New York and Pennsylvania regarding pricing offered to electricity customers in those states. During the first quarter of fiscal 2022, the complai</w:t>
      </w:r>
      <w:r>
        <w:rPr>
          <w:sz w:val="20"/>
          <w:szCs w:val="20"/>
        </w:rPr>
        <w:t>nt was dismissed in part by the district court, but causes of action based on the New York consumer statute were allowed to proceed. On April 12, 2022, the court granted summary judgment in favor of the Partnership on the remaining counts and the complaint</w:t>
      </w:r>
      <w:r>
        <w:rPr>
          <w:sz w:val="20"/>
          <w:szCs w:val="20"/>
        </w:rPr>
        <w:t xml:space="preserve"> was dismissed in full. The plaintiff in this action has appealed the court’s decision to the U.S. Court of Appeals for the Second Circuit. Although any litigation is inherently uncertain, based on past experience, the information currently available to th</w:t>
      </w:r>
      <w:r>
        <w:rPr>
          <w:sz w:val="20"/>
          <w:szCs w:val="20"/>
        </w:rPr>
        <w:t xml:space="preserve">e Partnership, and the amount of its accrued insurance liabilities, the Partnership does not believe that currently pending or threatened litigation matters, or known claims or known contingent claims, will have a material adverse effect on its results of </w:t>
      </w:r>
      <w:r>
        <w:rPr>
          <w:sz w:val="20"/>
          <w:szCs w:val="20"/>
        </w:rPr>
        <w:t>operations, financial condition or cash flow</w:t>
      </w:r>
      <w:r>
        <w:rPr>
          <w:sz w:val="20"/>
          <w:szCs w:val="20"/>
        </w:rPr>
        <w:t>.</w:t>
      </w:r>
    </w:p>
    <w:p w:rsidR="00000000" w:rsidRDefault="00A749A6">
      <w:pPr>
        <w:pStyle w:val="a3"/>
        <w:spacing w:before="240" w:beforeAutospacing="0" w:after="0" w:afterAutospacing="0"/>
        <w:jc w:val="both"/>
        <w:divId w:val="1475874144"/>
        <w:rPr>
          <w:sz w:val="20"/>
          <w:szCs w:val="20"/>
        </w:rPr>
      </w:pPr>
      <w:r>
        <w:rPr>
          <w:b/>
          <w:bCs/>
          <w:sz w:val="20"/>
          <w:szCs w:val="20"/>
        </w:rPr>
        <w:t>COVID-19 Pandemic</w:t>
      </w:r>
      <w:r>
        <w:rPr>
          <w:b/>
          <w:bCs/>
          <w:sz w:val="20"/>
          <w:szCs w:val="20"/>
        </w:rPr>
        <w:t>.</w:t>
      </w:r>
      <w:r>
        <w:rPr>
          <w:sz w:val="20"/>
          <w:szCs w:val="20"/>
        </w:rPr>
        <w:t xml:space="preserve"> The impact of the COVID-19 pandemic continues to evolve. Although the Partnership believes the financial information included herein properly reflects all facts known at this time, the Partne</w:t>
      </w:r>
      <w:r>
        <w:rPr>
          <w:sz w:val="20"/>
          <w:szCs w:val="20"/>
        </w:rPr>
        <w:t>rship is unable to estimate the full financial impact of the pandemic at this time. The Partnership’s supply chain, including its suppliers and business partners, has not been materially impacted and the Partnership has been able to acquire sufficient supp</w:t>
      </w:r>
      <w:r>
        <w:rPr>
          <w:sz w:val="20"/>
          <w:szCs w:val="20"/>
        </w:rPr>
        <w:t>lies of the products it sells. Additionally, the Partnership continues to obtain the necessary liquidity to sustain its operations through collections of accounts receivable, as well as access to its Revolving Credit Facility available under the Credit Agr</w:t>
      </w:r>
      <w:r>
        <w:rPr>
          <w:sz w:val="20"/>
          <w:szCs w:val="20"/>
        </w:rPr>
        <w:t>eement. The Partnership will continue to actively monitor and manage the economic impact of the COVID-19 pandemic and, to the extent available, ensure new information is reflected within future financial information</w:t>
      </w:r>
      <w:r>
        <w:rPr>
          <w:sz w:val="20"/>
          <w:szCs w:val="20"/>
        </w:rPr>
        <w:t>.</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jc w:val="both"/>
        <w:divId w:val="2086492353"/>
        <w:rPr>
          <w:rFonts w:eastAsia="Times New Roman"/>
          <w:sz w:val="20"/>
          <w:szCs w:val="20"/>
        </w:rPr>
      </w:pPr>
      <w:r>
        <w:rPr>
          <w:rFonts w:eastAsia="Times New Roman"/>
          <w:b/>
          <w:bCs/>
          <w:sz w:val="20"/>
          <w:szCs w:val="20"/>
        </w:rPr>
        <w:t>14</w:t>
      </w:r>
      <w:r>
        <w:rPr>
          <w:rFonts w:eastAsia="Times New Roman"/>
          <w:b/>
          <w:bCs/>
          <w:sz w:val="20"/>
          <w:szCs w:val="20"/>
        </w:rPr>
        <w:t>.</w:t>
      </w:r>
    </w:p>
    <w:p w:rsidR="00000000" w:rsidRDefault="00A749A6">
      <w:pPr>
        <w:jc w:val="both"/>
        <w:divId w:val="942802080"/>
        <w:rPr>
          <w:rFonts w:eastAsia="Times New Roman"/>
          <w:sz w:val="20"/>
          <w:szCs w:val="20"/>
        </w:rPr>
      </w:pPr>
      <w:r>
        <w:rPr>
          <w:rFonts w:eastAsia="Times New Roman"/>
          <w:b/>
          <w:bCs/>
          <w:sz w:val="20"/>
          <w:szCs w:val="20"/>
        </w:rPr>
        <w:t>Guarantee</w:t>
      </w:r>
      <w:r>
        <w:rPr>
          <w:rFonts w:eastAsia="Times New Roman"/>
          <w:b/>
          <w:bCs/>
          <w:sz w:val="20"/>
          <w:szCs w:val="20"/>
        </w:rPr>
        <w:t>s</w:t>
      </w:r>
    </w:p>
    <w:p w:rsidR="00000000" w:rsidRDefault="00A749A6">
      <w:pPr>
        <w:pStyle w:val="a3"/>
        <w:spacing w:before="120" w:beforeAutospacing="0" w:after="0" w:afterAutospacing="0"/>
        <w:jc w:val="both"/>
        <w:divId w:val="331446364"/>
        <w:rPr>
          <w:sz w:val="20"/>
          <w:szCs w:val="20"/>
        </w:rPr>
      </w:pPr>
      <w:r>
        <w:rPr>
          <w:sz w:val="20"/>
          <w:szCs w:val="20"/>
        </w:rPr>
        <w:t>The Partnership has re</w:t>
      </w:r>
      <w:r>
        <w:rPr>
          <w:sz w:val="20"/>
          <w:szCs w:val="20"/>
        </w:rPr>
        <w:t>sidual value guarantees associated with certain of its operating leases, related primarily to transportation equipment, with remaining lease periods scheduled to expire periodically through fiscal</w:t>
      </w:r>
      <w:r>
        <w:rPr>
          <w:sz w:val="20"/>
          <w:szCs w:val="20"/>
        </w:rPr>
        <w:t xml:space="preserve"> </w:t>
      </w:r>
      <w:r>
        <w:rPr>
          <w:sz w:val="20"/>
          <w:szCs w:val="20"/>
        </w:rPr>
        <w:t>203</w:t>
      </w:r>
      <w:r>
        <w:rPr>
          <w:sz w:val="20"/>
          <w:szCs w:val="20"/>
        </w:rPr>
        <w:t>2</w:t>
      </w:r>
      <w:r>
        <w:rPr>
          <w:sz w:val="20"/>
          <w:szCs w:val="20"/>
        </w:rPr>
        <w:t xml:space="preserve">. Upon completion of the lease period, the Partnership </w:t>
      </w:r>
      <w:r>
        <w:rPr>
          <w:sz w:val="20"/>
          <w:szCs w:val="20"/>
        </w:rPr>
        <w:t>guarantees that the fair value of the equipment will equal or exceed the guaranteed amount, or the Partnership will pay the lessor the difference. Although the fair value of equipment at the end of its lease term has historically exceeded the guaranteed am</w:t>
      </w:r>
      <w:r>
        <w:rPr>
          <w:sz w:val="20"/>
          <w:szCs w:val="20"/>
        </w:rPr>
        <w:t xml:space="preserve">ounts, the maximum potential amount of aggregate future payments the Partnership could be required to make under these leasing arrangements, assuming the equipment is deemed worthless at the end of the lease term, was </w:t>
      </w:r>
      <w:r>
        <w:rPr>
          <w:sz w:val="20"/>
          <w:szCs w:val="20"/>
        </w:rPr>
        <w:t>$</w:t>
      </w:r>
      <w:r>
        <w:rPr>
          <w:sz w:val="20"/>
          <w:szCs w:val="20"/>
        </w:rPr>
        <w:t>39,46</w:t>
      </w:r>
      <w:r>
        <w:rPr>
          <w:sz w:val="20"/>
          <w:szCs w:val="20"/>
        </w:rPr>
        <w:t>1</w:t>
      </w:r>
      <w:r>
        <w:rPr>
          <w:sz w:val="20"/>
          <w:szCs w:val="20"/>
        </w:rPr>
        <w:t xml:space="preserve"> as of June 25, 2022. The fair </w:t>
      </w:r>
      <w:r>
        <w:rPr>
          <w:sz w:val="20"/>
          <w:szCs w:val="20"/>
        </w:rPr>
        <w:t>value of residual value guarantees for outstanding operating leases was de minimis as of June 25, 2022 and September 25, 202</w:t>
      </w:r>
      <w:r>
        <w:rPr>
          <w:sz w:val="20"/>
          <w:szCs w:val="20"/>
        </w:rPr>
        <w:t>1</w:t>
      </w:r>
      <w:r>
        <w:rPr>
          <w:sz w:val="20"/>
          <w:szCs w:val="20"/>
        </w:rPr>
        <w:t>.</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1</w:t>
      </w:r>
      <w:r>
        <w:rPr>
          <w:sz w:val="20"/>
          <w:szCs w:val="20"/>
        </w:rPr>
        <w:t>9</w:t>
      </w:r>
    </w:p>
    <w:p w:rsidR="00000000" w:rsidRDefault="00A749A6">
      <w:pPr>
        <w:rPr>
          <w:rFonts w:eastAsia="Times New Roman"/>
        </w:rPr>
      </w:pPr>
      <w:r>
        <w:rPr>
          <w:rFonts w:eastAsia="Times New Roman"/>
        </w:rPr>
        <w:pict>
          <v:rect id="_x0000_i1047" style="width:0;height:1.5pt" o:hralign="center" o:hrstd="t" o:hr="t" fillcolor="#a0a0a0" stroked="f"/>
        </w:pict>
      </w:r>
    </w:p>
    <w:p w:rsidR="00000000" w:rsidRDefault="00A749A6">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jc w:val="both"/>
        <w:divId w:val="504126848"/>
        <w:rPr>
          <w:rFonts w:eastAsia="Times New Roman"/>
          <w:sz w:val="20"/>
          <w:szCs w:val="20"/>
        </w:rPr>
      </w:pPr>
      <w:r>
        <w:rPr>
          <w:rFonts w:eastAsia="Times New Roman"/>
          <w:b/>
          <w:bCs/>
          <w:sz w:val="20"/>
          <w:szCs w:val="20"/>
        </w:rPr>
        <w:t>15</w:t>
      </w:r>
      <w:r>
        <w:rPr>
          <w:rFonts w:eastAsia="Times New Roman"/>
          <w:b/>
          <w:bCs/>
          <w:sz w:val="20"/>
          <w:szCs w:val="20"/>
        </w:rPr>
        <w:t>.</w:t>
      </w:r>
    </w:p>
    <w:p w:rsidR="00000000" w:rsidRDefault="00A749A6">
      <w:pPr>
        <w:jc w:val="both"/>
        <w:divId w:val="380249221"/>
        <w:rPr>
          <w:rFonts w:eastAsia="Times New Roman"/>
          <w:sz w:val="20"/>
          <w:szCs w:val="20"/>
        </w:rPr>
      </w:pPr>
      <w:r>
        <w:rPr>
          <w:rFonts w:eastAsia="Times New Roman"/>
          <w:b/>
          <w:bCs/>
          <w:sz w:val="20"/>
          <w:szCs w:val="20"/>
        </w:rPr>
        <w:t>Pension Plans and Other Postretirement Benefit</w:t>
      </w:r>
      <w:r>
        <w:rPr>
          <w:rFonts w:eastAsia="Times New Roman"/>
          <w:b/>
          <w:bCs/>
          <w:sz w:val="20"/>
          <w:szCs w:val="20"/>
        </w:rPr>
        <w:t>s</w:t>
      </w:r>
    </w:p>
    <w:p w:rsidR="00000000" w:rsidRDefault="00A749A6">
      <w:pPr>
        <w:pStyle w:val="a3"/>
        <w:spacing w:before="120" w:beforeAutospacing="0" w:after="0" w:afterAutospacing="0"/>
        <w:jc w:val="both"/>
        <w:divId w:val="1119687184"/>
        <w:rPr>
          <w:sz w:val="20"/>
          <w:szCs w:val="20"/>
        </w:rPr>
      </w:pPr>
      <w:r>
        <w:rPr>
          <w:sz w:val="20"/>
          <w:szCs w:val="20"/>
        </w:rPr>
        <w:t>The following table provides the components of net periodic benefit costs</w:t>
      </w:r>
      <w:r>
        <w:rPr>
          <w:sz w:val="20"/>
          <w:szCs w:val="20"/>
        </w:rPr>
        <w:t>:</w:t>
      </w:r>
    </w:p>
    <w:p w:rsidR="00000000" w:rsidRDefault="00A749A6">
      <w:pPr>
        <w:pStyle w:val="a3"/>
        <w:spacing w:before="0" w:beforeAutospacing="0" w:after="0" w:afterAutospacing="0"/>
        <w:jc w:val="both"/>
        <w:divId w:val="1119687184"/>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435"/>
        <w:gridCol w:w="110"/>
        <w:gridCol w:w="160"/>
        <w:gridCol w:w="568"/>
        <w:gridCol w:w="127"/>
        <w:gridCol w:w="110"/>
        <w:gridCol w:w="160"/>
        <w:gridCol w:w="637"/>
        <w:gridCol w:w="127"/>
        <w:gridCol w:w="110"/>
        <w:gridCol w:w="160"/>
        <w:gridCol w:w="577"/>
        <w:gridCol w:w="127"/>
        <w:gridCol w:w="110"/>
        <w:gridCol w:w="160"/>
        <w:gridCol w:w="655"/>
        <w:gridCol w:w="142"/>
      </w:tblGrid>
      <w:tr w:rsidR="00000000">
        <w:trPr>
          <w:divId w:val="1119687184"/>
          <w:tblCellSpacing w:w="15" w:type="dxa"/>
        </w:trPr>
        <w:tc>
          <w:tcPr>
            <w:tcW w:w="2493" w:type="pct"/>
            <w:vAlign w:val="center"/>
            <w:hideMark/>
          </w:tcPr>
          <w:p w:rsidR="00000000" w:rsidRDefault="00A749A6">
            <w:pPr>
              <w:rPr>
                <w:sz w:val="20"/>
                <w:szCs w:val="20"/>
              </w:rPr>
            </w:pPr>
          </w:p>
        </w:tc>
        <w:tc>
          <w:tcPr>
            <w:tcW w:w="57"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39"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7"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8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4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05"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divId w:val="1119687184"/>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A749A6">
            <w:pPr>
              <w:pStyle w:val="a3"/>
              <w:spacing w:before="0" w:beforeAutospacing="0" w:after="0" w:afterAutospacing="0"/>
              <w:jc w:val="center"/>
              <w:rPr>
                <w:sz w:val="16"/>
                <w:szCs w:val="16"/>
              </w:rPr>
            </w:pPr>
            <w:r>
              <w:rPr>
                <w:b/>
                <w:bCs/>
                <w:sz w:val="16"/>
                <w:szCs w:val="16"/>
              </w:rPr>
              <w:t>Pension Benefit</w:t>
            </w:r>
            <w:r>
              <w:rPr>
                <w:b/>
                <w:bCs/>
                <w:sz w:val="16"/>
                <w:szCs w:val="16"/>
              </w:rPr>
              <w:t>s</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1119687184"/>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Nine Months Ende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1119687184"/>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26</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26</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1119687184"/>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1119687184"/>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Interest cos</w:t>
            </w:r>
            <w:r>
              <w:rPr>
                <w:sz w:val="20"/>
                <w:szCs w:val="20"/>
              </w:rPr>
              <w:t>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55</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53</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1,67</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1,60</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1119687184"/>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Expected return on plan asset</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35</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31</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1,06</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95</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divId w:val="1119687184"/>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Amortization of net los</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59</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89</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1,79</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2,69</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1119687184"/>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Pension settlement charg</w:t>
            </w:r>
            <w:r>
              <w:rPr>
                <w:sz w:val="20"/>
                <w:szCs w:val="20"/>
              </w:rPr>
              <w:t>e</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63</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14</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63</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71</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1119687184"/>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Net periodic benefit cos</w:t>
            </w:r>
            <w:r>
              <w:rPr>
                <w:sz w:val="20"/>
                <w:szCs w:val="20"/>
              </w:rPr>
              <w:t>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1,43</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1,25</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3,04</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4,05</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bl>
    <w:p w:rsidR="00000000" w:rsidRDefault="00A749A6">
      <w:pPr>
        <w:pStyle w:val="a3"/>
        <w:spacing w:before="0" w:beforeAutospacing="0" w:after="0" w:afterAutospacing="0"/>
        <w:jc w:val="both"/>
        <w:divId w:val="1119687184"/>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436"/>
        <w:gridCol w:w="110"/>
        <w:gridCol w:w="160"/>
        <w:gridCol w:w="569"/>
        <w:gridCol w:w="127"/>
        <w:gridCol w:w="110"/>
        <w:gridCol w:w="160"/>
        <w:gridCol w:w="637"/>
        <w:gridCol w:w="127"/>
        <w:gridCol w:w="110"/>
        <w:gridCol w:w="160"/>
        <w:gridCol w:w="570"/>
        <w:gridCol w:w="127"/>
        <w:gridCol w:w="110"/>
        <w:gridCol w:w="160"/>
        <w:gridCol w:w="660"/>
        <w:gridCol w:w="142"/>
      </w:tblGrid>
      <w:tr w:rsidR="00000000">
        <w:trPr>
          <w:divId w:val="1119687184"/>
          <w:tblCellSpacing w:w="15" w:type="dxa"/>
        </w:trPr>
        <w:tc>
          <w:tcPr>
            <w:tcW w:w="2494" w:type="pct"/>
            <w:vAlign w:val="center"/>
            <w:hideMark/>
          </w:tcPr>
          <w:p w:rsidR="00000000" w:rsidRDefault="00A749A6">
            <w:pPr>
              <w:rPr>
                <w:sz w:val="20"/>
                <w:szCs w:val="20"/>
              </w:rPr>
            </w:pPr>
          </w:p>
        </w:tc>
        <w:tc>
          <w:tcPr>
            <w:tcW w:w="57"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39"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7"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8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4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04"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divId w:val="1119687184"/>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14"/>
            <w:vAlign w:val="bottom"/>
            <w:hideMark/>
          </w:tcPr>
          <w:p w:rsidR="00000000" w:rsidRDefault="00A749A6">
            <w:pPr>
              <w:pStyle w:val="a3"/>
              <w:spacing w:before="0" w:beforeAutospacing="0" w:after="0" w:afterAutospacing="0"/>
              <w:jc w:val="center"/>
              <w:rPr>
                <w:sz w:val="16"/>
                <w:szCs w:val="16"/>
              </w:rPr>
            </w:pPr>
            <w:r>
              <w:rPr>
                <w:b/>
                <w:bCs/>
                <w:sz w:val="16"/>
                <w:szCs w:val="16"/>
              </w:rPr>
              <w:t>Postretirement Benefit</w:t>
            </w:r>
            <w:r>
              <w:rPr>
                <w:b/>
                <w:bCs/>
                <w:sz w:val="16"/>
                <w:szCs w:val="16"/>
              </w:rPr>
              <w:t>s</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1119687184"/>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Nine Months Ende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1119687184"/>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26</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26</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1119687184"/>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1119687184"/>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Interest cos</w:t>
            </w:r>
            <w:r>
              <w:rPr>
                <w:sz w:val="20"/>
                <w:szCs w:val="20"/>
              </w:rPr>
              <w:t>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1119687184"/>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Amortization of prior service credit</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12</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12</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37</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37</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divId w:val="1119687184"/>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Amortization of net (gain</w:t>
            </w: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18</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18</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54</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54</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divId w:val="1119687184"/>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Net periodic benefit cos</w:t>
            </w:r>
            <w:r>
              <w:rPr>
                <w:sz w:val="20"/>
                <w:szCs w:val="20"/>
              </w:rPr>
              <w:t>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28</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28</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85</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85</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bl>
    <w:p w:rsidR="00000000" w:rsidRDefault="00A749A6">
      <w:pPr>
        <w:pStyle w:val="a3"/>
        <w:spacing w:before="0" w:beforeAutospacing="0" w:after="0" w:afterAutospacing="0"/>
        <w:jc w:val="both"/>
        <w:divId w:val="1854302640"/>
        <w:rPr>
          <w:sz w:val="20"/>
          <w:szCs w:val="20"/>
        </w:rPr>
      </w:pPr>
      <w:r>
        <w:rPr>
          <w:sz w:val="20"/>
          <w:szCs w:val="20"/>
        </w:rPr>
        <w:t> </w:t>
      </w:r>
    </w:p>
    <w:p w:rsidR="00000000" w:rsidRDefault="00A749A6">
      <w:pPr>
        <w:pStyle w:val="a3"/>
        <w:spacing w:before="40" w:beforeAutospacing="0" w:after="0" w:afterAutospacing="0"/>
        <w:jc w:val="both"/>
        <w:divId w:val="1854302640"/>
        <w:rPr>
          <w:sz w:val="20"/>
          <w:szCs w:val="20"/>
        </w:rPr>
      </w:pPr>
      <w:r>
        <w:rPr>
          <w:sz w:val="20"/>
          <w:szCs w:val="20"/>
        </w:rPr>
        <w:t xml:space="preserve">The Partnership expects to contribute approximately </w:t>
      </w:r>
      <w:r>
        <w:rPr>
          <w:sz w:val="20"/>
          <w:szCs w:val="20"/>
        </w:rPr>
        <w:t>$</w:t>
      </w:r>
      <w:r>
        <w:rPr>
          <w:sz w:val="20"/>
          <w:szCs w:val="20"/>
        </w:rPr>
        <w:t>3,33</w:t>
      </w:r>
      <w:r>
        <w:rPr>
          <w:sz w:val="20"/>
          <w:szCs w:val="20"/>
        </w:rPr>
        <w:t>0</w:t>
      </w:r>
      <w:r>
        <w:rPr>
          <w:sz w:val="20"/>
          <w:szCs w:val="20"/>
        </w:rPr>
        <w:t xml:space="preserve"> to the defined benefit pension plan during fiscal 2022, of which </w:t>
      </w:r>
      <w:r>
        <w:rPr>
          <w:sz w:val="20"/>
          <w:szCs w:val="20"/>
        </w:rPr>
        <w:t>$</w:t>
      </w:r>
      <w:r>
        <w:rPr>
          <w:sz w:val="20"/>
          <w:szCs w:val="20"/>
        </w:rPr>
        <w:t>2,22</w:t>
      </w:r>
      <w:r>
        <w:rPr>
          <w:sz w:val="20"/>
          <w:szCs w:val="20"/>
        </w:rPr>
        <w:t>0</w:t>
      </w:r>
      <w:r>
        <w:rPr>
          <w:sz w:val="20"/>
          <w:szCs w:val="20"/>
        </w:rPr>
        <w:t xml:space="preserve"> was contributed during the nine months ended June 25, 2022. The projected annual contribution requirements related to the Par</w:t>
      </w:r>
      <w:r>
        <w:rPr>
          <w:sz w:val="20"/>
          <w:szCs w:val="20"/>
        </w:rPr>
        <w:t xml:space="preserve">tnership’s postretirement health care and life insurance benefit plan for fiscal 2022 is </w:t>
      </w:r>
      <w:r>
        <w:rPr>
          <w:sz w:val="20"/>
          <w:szCs w:val="20"/>
        </w:rPr>
        <w:t>$</w:t>
      </w:r>
      <w:r>
        <w:rPr>
          <w:sz w:val="20"/>
          <w:szCs w:val="20"/>
        </w:rPr>
        <w:t>71</w:t>
      </w:r>
      <w:r>
        <w:rPr>
          <w:sz w:val="20"/>
          <w:szCs w:val="20"/>
        </w:rPr>
        <w:t>0</w:t>
      </w:r>
      <w:r>
        <w:rPr>
          <w:sz w:val="20"/>
          <w:szCs w:val="20"/>
        </w:rPr>
        <w:t xml:space="preserve">, of which </w:t>
      </w:r>
      <w:r>
        <w:rPr>
          <w:sz w:val="20"/>
          <w:szCs w:val="20"/>
        </w:rPr>
        <w:t>$</w:t>
      </w:r>
      <w:r>
        <w:rPr>
          <w:sz w:val="20"/>
          <w:szCs w:val="20"/>
        </w:rPr>
        <w:t>48</w:t>
      </w:r>
      <w:r>
        <w:rPr>
          <w:sz w:val="20"/>
          <w:szCs w:val="20"/>
        </w:rPr>
        <w:t>0</w:t>
      </w:r>
      <w:r>
        <w:rPr>
          <w:sz w:val="20"/>
          <w:szCs w:val="20"/>
        </w:rPr>
        <w:t xml:space="preserve"> was contributed during the nine months ended June 25, 202</w:t>
      </w:r>
      <w:r>
        <w:rPr>
          <w:sz w:val="20"/>
          <w:szCs w:val="20"/>
        </w:rPr>
        <w:t>2</w:t>
      </w:r>
      <w:r>
        <w:rPr>
          <w:sz w:val="20"/>
          <w:szCs w:val="20"/>
        </w:rPr>
        <w:t xml:space="preserve">. During the third quarter of fiscal 2022, lump sum pension settlement payments exceeded </w:t>
      </w:r>
      <w:r>
        <w:rPr>
          <w:sz w:val="20"/>
          <w:szCs w:val="20"/>
        </w:rPr>
        <w:t xml:space="preserve">the settlement threshold (combined service and interest costs of net periodic pension cost) of </w:t>
      </w:r>
      <w:r>
        <w:rPr>
          <w:sz w:val="20"/>
          <w:szCs w:val="20"/>
        </w:rPr>
        <w:t>$</w:t>
      </w:r>
      <w:r>
        <w:rPr>
          <w:sz w:val="20"/>
          <w:szCs w:val="20"/>
        </w:rPr>
        <w:t>2,23</w:t>
      </w:r>
      <w:r>
        <w:rPr>
          <w:sz w:val="20"/>
          <w:szCs w:val="20"/>
        </w:rPr>
        <w:t>8</w:t>
      </w:r>
      <w:r>
        <w:rPr>
          <w:sz w:val="20"/>
          <w:szCs w:val="20"/>
        </w:rPr>
        <w:t xml:space="preserve">, which required the Partnership to recognize a non-cash settlement charge of </w:t>
      </w:r>
      <w:r>
        <w:rPr>
          <w:sz w:val="20"/>
          <w:szCs w:val="20"/>
        </w:rPr>
        <w:t>$</w:t>
      </w:r>
      <w:r>
        <w:rPr>
          <w:sz w:val="20"/>
          <w:szCs w:val="20"/>
        </w:rPr>
        <w:t>63</w:t>
      </w:r>
      <w:r>
        <w:rPr>
          <w:sz w:val="20"/>
          <w:szCs w:val="20"/>
        </w:rPr>
        <w:t>4</w:t>
      </w:r>
      <w:r>
        <w:rPr>
          <w:sz w:val="20"/>
          <w:szCs w:val="20"/>
        </w:rPr>
        <w:t>. During each of the second and third quarters of fiscal 2021, lump sum p</w:t>
      </w:r>
      <w:r>
        <w:rPr>
          <w:sz w:val="20"/>
          <w:szCs w:val="20"/>
        </w:rPr>
        <w:t xml:space="preserve">ension settlement payments exceeded the settlement threshold of </w:t>
      </w:r>
      <w:r>
        <w:rPr>
          <w:sz w:val="20"/>
          <w:szCs w:val="20"/>
        </w:rPr>
        <w:t>$</w:t>
      </w:r>
      <w:r>
        <w:rPr>
          <w:sz w:val="20"/>
          <w:szCs w:val="20"/>
        </w:rPr>
        <w:t>2,13</w:t>
      </w:r>
      <w:r>
        <w:rPr>
          <w:sz w:val="20"/>
          <w:szCs w:val="20"/>
        </w:rPr>
        <w:t>5</w:t>
      </w:r>
      <w:r>
        <w:rPr>
          <w:sz w:val="20"/>
          <w:szCs w:val="20"/>
        </w:rPr>
        <w:t xml:space="preserve">, which required the Partnership to recognize non-cash settlement charges of </w:t>
      </w:r>
      <w:r>
        <w:rPr>
          <w:sz w:val="20"/>
          <w:szCs w:val="20"/>
        </w:rPr>
        <w:t>$</w:t>
      </w:r>
      <w:r>
        <w:rPr>
          <w:sz w:val="20"/>
          <w:szCs w:val="20"/>
        </w:rPr>
        <w:t>57</w:t>
      </w:r>
      <w:r>
        <w:rPr>
          <w:sz w:val="20"/>
          <w:szCs w:val="20"/>
        </w:rPr>
        <w:t>0</w:t>
      </w:r>
      <w:r>
        <w:rPr>
          <w:sz w:val="20"/>
          <w:szCs w:val="20"/>
        </w:rPr>
        <w:t xml:space="preserve"> and </w:t>
      </w:r>
      <w:r>
        <w:rPr>
          <w:sz w:val="20"/>
          <w:szCs w:val="20"/>
        </w:rPr>
        <w:t>$</w:t>
      </w:r>
      <w:r>
        <w:rPr>
          <w:sz w:val="20"/>
          <w:szCs w:val="20"/>
        </w:rPr>
        <w:t>14</w:t>
      </w:r>
      <w:r>
        <w:rPr>
          <w:sz w:val="20"/>
          <w:szCs w:val="20"/>
        </w:rPr>
        <w:t>2</w:t>
      </w:r>
      <w:r>
        <w:rPr>
          <w:sz w:val="20"/>
          <w:szCs w:val="20"/>
        </w:rPr>
        <w:t>, respectively. These non-cash charges were required to accelerate recognition of a portion of c</w:t>
      </w:r>
      <w:r>
        <w:rPr>
          <w:sz w:val="20"/>
          <w:szCs w:val="20"/>
        </w:rPr>
        <w:t>umulative unamortized losses in the defined benefit pension plans. The components of net periodic benefit cost are included in the line item Other, net in the condensed consolidated statements of operations</w:t>
      </w:r>
      <w:r>
        <w:rPr>
          <w:sz w:val="20"/>
          <w:szCs w:val="20"/>
        </w:rPr>
        <w:t>.</w:t>
      </w:r>
    </w:p>
    <w:p w:rsidR="00000000" w:rsidRDefault="00A749A6">
      <w:pPr>
        <w:pStyle w:val="a3"/>
        <w:spacing w:before="240" w:beforeAutospacing="0" w:after="0" w:afterAutospacing="0"/>
        <w:jc w:val="both"/>
        <w:divId w:val="1854302640"/>
        <w:rPr>
          <w:sz w:val="20"/>
          <w:szCs w:val="20"/>
        </w:rPr>
      </w:pPr>
      <w:r>
        <w:rPr>
          <w:sz w:val="20"/>
          <w:szCs w:val="20"/>
        </w:rPr>
        <w:t>The Partnership contributes to multi-employer pe</w:t>
      </w:r>
      <w:r>
        <w:rPr>
          <w:sz w:val="20"/>
          <w:szCs w:val="20"/>
        </w:rPr>
        <w:t>nsion plans (“MEPPs”) in accordance with various collective bargaining agreements covering union employees. As one of the many participating employers in these MEPPs, the Partnership is responsible with the other participating employers for any plan underf</w:t>
      </w:r>
      <w:r>
        <w:rPr>
          <w:sz w:val="20"/>
          <w:szCs w:val="20"/>
        </w:rPr>
        <w:t xml:space="preserve">unding. As of June 25, 2022 and September 25, 2021, the Partnership’s estimated obligation to these MEPPs was </w:t>
      </w:r>
      <w:r>
        <w:rPr>
          <w:sz w:val="20"/>
          <w:szCs w:val="20"/>
        </w:rPr>
        <w:t>$</w:t>
      </w:r>
      <w:r>
        <w:rPr>
          <w:sz w:val="20"/>
          <w:szCs w:val="20"/>
        </w:rPr>
        <w:t>22,76</w:t>
      </w:r>
      <w:r>
        <w:rPr>
          <w:sz w:val="20"/>
          <w:szCs w:val="20"/>
        </w:rPr>
        <w:t>6</w:t>
      </w:r>
      <w:r>
        <w:rPr>
          <w:sz w:val="20"/>
          <w:szCs w:val="20"/>
        </w:rPr>
        <w:t xml:space="preserve"> and </w:t>
      </w:r>
      <w:r>
        <w:rPr>
          <w:sz w:val="20"/>
          <w:szCs w:val="20"/>
        </w:rPr>
        <w:t>$</w:t>
      </w:r>
      <w:r>
        <w:rPr>
          <w:sz w:val="20"/>
          <w:szCs w:val="20"/>
        </w:rPr>
        <w:t>23,56</w:t>
      </w:r>
      <w:r>
        <w:rPr>
          <w:sz w:val="20"/>
          <w:szCs w:val="20"/>
        </w:rPr>
        <w:t>7</w:t>
      </w:r>
      <w:r>
        <w:rPr>
          <w:sz w:val="20"/>
          <w:szCs w:val="20"/>
        </w:rPr>
        <w:t>, respectively, as a result of its voluntary full withdrawal from certain MEPPs</w:t>
      </w:r>
      <w:r>
        <w:rPr>
          <w:sz w:val="20"/>
          <w:szCs w:val="20"/>
        </w:rPr>
        <w:t>.</w:t>
      </w:r>
    </w:p>
    <w:p w:rsidR="00000000" w:rsidRDefault="00A749A6">
      <w:pPr>
        <w:pStyle w:val="a3"/>
        <w:spacing w:before="0" w:beforeAutospacing="0" w:after="0" w:afterAutospacing="0"/>
        <w:ind w:hanging="581"/>
        <w:jc w:val="both"/>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2</w:t>
      </w:r>
      <w:r>
        <w:rPr>
          <w:sz w:val="20"/>
          <w:szCs w:val="20"/>
        </w:rPr>
        <w:t>0</w:t>
      </w:r>
    </w:p>
    <w:p w:rsidR="00000000" w:rsidRDefault="00A749A6">
      <w:pPr>
        <w:rPr>
          <w:rFonts w:eastAsia="Times New Roman"/>
        </w:rPr>
      </w:pPr>
      <w:r>
        <w:rPr>
          <w:rFonts w:eastAsia="Times New Roman"/>
        </w:rPr>
        <w:pict>
          <v:rect id="_x0000_i1048" style="width:0;height:1.5pt" o:hralign="center" o:hrstd="t" o:hr="t" fillcolor="#a0a0a0" stroked="f"/>
        </w:pict>
      </w:r>
    </w:p>
    <w:p w:rsidR="00000000" w:rsidRDefault="00A749A6">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jc w:val="both"/>
        <w:divId w:val="566379103"/>
        <w:rPr>
          <w:rFonts w:eastAsia="Times New Roman"/>
          <w:sz w:val="20"/>
          <w:szCs w:val="20"/>
        </w:rPr>
      </w:pPr>
      <w:r>
        <w:rPr>
          <w:rFonts w:eastAsia="Times New Roman"/>
          <w:b/>
          <w:bCs/>
          <w:sz w:val="20"/>
          <w:szCs w:val="20"/>
        </w:rPr>
        <w:t>16</w:t>
      </w:r>
      <w:r>
        <w:rPr>
          <w:rFonts w:eastAsia="Times New Roman"/>
          <w:b/>
          <w:bCs/>
          <w:sz w:val="20"/>
          <w:szCs w:val="20"/>
        </w:rPr>
        <w:t>.</w:t>
      </w:r>
    </w:p>
    <w:p w:rsidR="00000000" w:rsidRDefault="00A749A6">
      <w:pPr>
        <w:jc w:val="both"/>
        <w:divId w:val="473254951"/>
        <w:rPr>
          <w:rFonts w:eastAsia="Times New Roman"/>
          <w:sz w:val="20"/>
          <w:szCs w:val="20"/>
        </w:rPr>
      </w:pPr>
      <w:r>
        <w:rPr>
          <w:rFonts w:eastAsia="Times New Roman"/>
          <w:b/>
          <w:bCs/>
          <w:sz w:val="20"/>
          <w:szCs w:val="20"/>
        </w:rPr>
        <w:t>Amounts Reclassified Out of Accumulated Other Comprehensive Incom</w:t>
      </w:r>
      <w:r>
        <w:rPr>
          <w:rFonts w:eastAsia="Times New Roman"/>
          <w:b/>
          <w:bCs/>
          <w:sz w:val="20"/>
          <w:szCs w:val="20"/>
        </w:rPr>
        <w:t>e</w:t>
      </w:r>
    </w:p>
    <w:p w:rsidR="00000000" w:rsidRDefault="00A749A6">
      <w:pPr>
        <w:pStyle w:val="a3"/>
        <w:spacing w:before="120" w:beforeAutospacing="0" w:after="0" w:afterAutospacing="0"/>
        <w:jc w:val="both"/>
        <w:divId w:val="1784694202"/>
        <w:rPr>
          <w:sz w:val="20"/>
          <w:szCs w:val="20"/>
        </w:rPr>
      </w:pPr>
      <w:r>
        <w:rPr>
          <w:sz w:val="20"/>
          <w:szCs w:val="20"/>
        </w:rPr>
        <w:t>The following table summarizes amounts reclassified out of accumulated other comprehensive income (loss) for the</w:t>
      </w:r>
      <w:r>
        <w:rPr>
          <w:sz w:val="20"/>
          <w:szCs w:val="20"/>
        </w:rPr>
        <w:t xml:space="preserve"> </w:t>
      </w:r>
      <w:r>
        <w:rPr>
          <w:sz w:val="20"/>
          <w:szCs w:val="20"/>
        </w:rPr>
        <w:t>three and nine months ended June 25, 2022 and June 26, 2021</w:t>
      </w:r>
      <w:r>
        <w:rPr>
          <w:sz w:val="20"/>
          <w:szCs w:val="20"/>
        </w:rPr>
        <w:t>:</w:t>
      </w:r>
    </w:p>
    <w:p w:rsidR="00000000" w:rsidRDefault="00A749A6">
      <w:pPr>
        <w:pStyle w:val="a3"/>
        <w:spacing w:before="0" w:beforeAutospacing="0" w:after="0" w:afterAutospacing="0"/>
        <w:jc w:val="both"/>
        <w:divId w:val="1784694202"/>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64"/>
        <w:gridCol w:w="210"/>
        <w:gridCol w:w="160"/>
        <w:gridCol w:w="677"/>
        <w:gridCol w:w="127"/>
        <w:gridCol w:w="110"/>
        <w:gridCol w:w="160"/>
        <w:gridCol w:w="677"/>
        <w:gridCol w:w="127"/>
        <w:gridCol w:w="110"/>
        <w:gridCol w:w="160"/>
        <w:gridCol w:w="677"/>
        <w:gridCol w:w="127"/>
        <w:gridCol w:w="110"/>
        <w:gridCol w:w="160"/>
        <w:gridCol w:w="677"/>
        <w:gridCol w:w="142"/>
      </w:tblGrid>
      <w:tr w:rsidR="00000000">
        <w:trPr>
          <w:divId w:val="1784694202"/>
          <w:tblCellSpacing w:w="15" w:type="dxa"/>
        </w:trPr>
        <w:tc>
          <w:tcPr>
            <w:tcW w:w="2522" w:type="pct"/>
            <w:vAlign w:val="center"/>
            <w:hideMark/>
          </w:tcPr>
          <w:p w:rsidR="00000000" w:rsidRDefault="00A749A6">
            <w:pPr>
              <w:rPr>
                <w:sz w:val="20"/>
                <w:szCs w:val="20"/>
              </w:rPr>
            </w:pPr>
          </w:p>
        </w:tc>
        <w:tc>
          <w:tcPr>
            <w:tcW w:w="7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53"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7"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6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7"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53"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7"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6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divId w:val="1784694202"/>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Nine Months Ende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1784694202"/>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26</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26</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1784694202"/>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1784694202"/>
          <w:trHeight w:val="200"/>
          <w:tblCellSpacing w:w="15" w:type="dxa"/>
        </w:trPr>
        <w:tc>
          <w:tcPr>
            <w:tcW w:w="0" w:type="auto"/>
            <w:hideMark/>
          </w:tcPr>
          <w:p w:rsidR="00000000" w:rsidRDefault="00A749A6">
            <w:pPr>
              <w:pStyle w:val="a3"/>
              <w:spacing w:before="0" w:beforeAutospacing="0" w:after="0" w:afterAutospacing="0"/>
              <w:rPr>
                <w:sz w:val="20"/>
                <w:szCs w:val="20"/>
              </w:rPr>
            </w:pPr>
            <w:r>
              <w:rPr>
                <w:b/>
                <w:bCs/>
                <w:sz w:val="20"/>
                <w:szCs w:val="20"/>
              </w:rPr>
              <w:t>Pension Benefit</w:t>
            </w:r>
            <w:r>
              <w:rPr>
                <w:b/>
                <w:bCs/>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r>
      <w:tr w:rsidR="00000000">
        <w:trPr>
          <w:divId w:val="1784694202"/>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Balance, beginning of perio</w:t>
            </w:r>
            <w:r>
              <w:rPr>
                <w:sz w:val="20"/>
                <w:szCs w:val="20"/>
              </w:rPr>
              <w:t>d</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22,10</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29,92</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23,30</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32,28</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divId w:val="1784694202"/>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Reclassifications to earnings</w:t>
            </w: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r>
      <w:tr w:rsidR="00000000">
        <w:trPr>
          <w:divId w:val="1784694202"/>
          <w:trHeight w:val="200"/>
          <w:tblCellSpacing w:w="15" w:type="dxa"/>
        </w:trPr>
        <w:tc>
          <w:tcPr>
            <w:tcW w:w="0" w:type="auto"/>
            <w:hideMark/>
          </w:tcPr>
          <w:p w:rsidR="00000000" w:rsidRDefault="00A749A6">
            <w:pPr>
              <w:pStyle w:val="a3"/>
              <w:spacing w:before="0" w:beforeAutospacing="0" w:after="0" w:afterAutospacing="0"/>
              <w:ind w:left="200"/>
              <w:rPr>
                <w:sz w:val="19"/>
                <w:szCs w:val="19"/>
              </w:rPr>
            </w:pPr>
            <w:r>
              <w:rPr>
                <w:sz w:val="19"/>
                <w:szCs w:val="19"/>
              </w:rPr>
              <w:t>   Recognition of net actuarial loss for pension settlement</w:t>
            </w:r>
            <w:r>
              <w:rPr>
                <w:sz w:val="19"/>
                <w:szCs w:val="19"/>
              </w:rPr>
              <w:t xml:space="preserve"> </w:t>
            </w:r>
            <w:r>
              <w:rPr>
                <w:sz w:val="14"/>
                <w:szCs w:val="14"/>
              </w:rPr>
              <w:t>(1</w:t>
            </w:r>
            <w:r>
              <w:rPr>
                <w:sz w:val="14"/>
                <w:szCs w:val="14"/>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63</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14</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63</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71</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1784694202"/>
          <w:trHeight w:val="200"/>
          <w:tblCellSpacing w:w="15" w:type="dxa"/>
        </w:trPr>
        <w:tc>
          <w:tcPr>
            <w:tcW w:w="0" w:type="auto"/>
            <w:hideMark/>
          </w:tcPr>
          <w:p w:rsidR="00000000" w:rsidRDefault="00A749A6">
            <w:pPr>
              <w:pStyle w:val="a3"/>
              <w:spacing w:before="0" w:beforeAutospacing="0" w:after="0" w:afterAutospacing="0"/>
              <w:ind w:left="300"/>
              <w:rPr>
                <w:sz w:val="20"/>
                <w:szCs w:val="20"/>
              </w:rPr>
            </w:pPr>
            <w:r>
              <w:rPr>
                <w:sz w:val="20"/>
                <w:szCs w:val="20"/>
              </w:rPr>
              <w:t>Amortization of net loss</w:t>
            </w:r>
            <w:r>
              <w:rPr>
                <w:sz w:val="20"/>
                <w:szCs w:val="20"/>
              </w:rPr>
              <w:t xml:space="preserve"> </w:t>
            </w:r>
            <w:r>
              <w:rPr>
                <w:sz w:val="14"/>
                <w:szCs w:val="14"/>
              </w:rPr>
              <w:t>(1</w:t>
            </w:r>
            <w:r>
              <w:rPr>
                <w:sz w:val="14"/>
                <w:szCs w:val="14"/>
              </w:rPr>
              <w:t>)</w:t>
            </w:r>
          </w:p>
        </w:tc>
        <w:tc>
          <w:tcPr>
            <w:tcW w:w="0" w:type="auto"/>
            <w:hideMark/>
          </w:tcPr>
          <w:p w:rsidR="00000000" w:rsidRDefault="00A749A6">
            <w:pPr>
              <w:pStyle w:val="a3"/>
              <w:spacing w:before="0" w:beforeAutospacing="0" w:after="0" w:afterAutospacing="0"/>
              <w:ind w:left="10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59</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89</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1,79</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2,69</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1784694202"/>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Other comprehensive incom</w:t>
            </w:r>
            <w:r>
              <w:rPr>
                <w:sz w:val="20"/>
                <w:szCs w:val="20"/>
              </w:rPr>
              <w:t>e</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1,23</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1,04</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2,43</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3,40</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1784694202"/>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Balance, end of perio</w:t>
            </w:r>
            <w:r>
              <w:rPr>
                <w:sz w:val="20"/>
                <w:szCs w:val="20"/>
              </w:rPr>
              <w:t>d</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20,87</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28,87</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20,87</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28,87</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divId w:val="1784694202"/>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divId w:val="1784694202"/>
          <w:trHeight w:val="200"/>
          <w:tblCellSpacing w:w="15" w:type="dxa"/>
        </w:trPr>
        <w:tc>
          <w:tcPr>
            <w:tcW w:w="0" w:type="auto"/>
            <w:hideMark/>
          </w:tcPr>
          <w:p w:rsidR="00000000" w:rsidRDefault="00A749A6">
            <w:pPr>
              <w:pStyle w:val="a3"/>
              <w:spacing w:before="0" w:beforeAutospacing="0" w:after="0" w:afterAutospacing="0"/>
              <w:rPr>
                <w:sz w:val="20"/>
                <w:szCs w:val="20"/>
              </w:rPr>
            </w:pPr>
            <w:r>
              <w:rPr>
                <w:b/>
                <w:bCs/>
                <w:sz w:val="20"/>
                <w:szCs w:val="20"/>
              </w:rPr>
              <w:t>Postretirement Benefit</w:t>
            </w:r>
            <w:r>
              <w:rPr>
                <w:b/>
                <w:bCs/>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r>
      <w:tr w:rsidR="00000000">
        <w:trPr>
          <w:divId w:val="1784694202"/>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Balance, beginning of perio</w:t>
            </w:r>
            <w:r>
              <w:rPr>
                <w:sz w:val="20"/>
                <w:szCs w:val="20"/>
              </w:rPr>
              <w:t>d</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5,10</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5,90</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5,71</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6,51</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1784694202"/>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Reclassifications to earnings</w:t>
            </w: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r>
      <w:tr w:rsidR="00000000">
        <w:trPr>
          <w:divId w:val="1784694202"/>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   Amortization of net gain and prior service credits</w:t>
            </w:r>
            <w:r>
              <w:rPr>
                <w:sz w:val="20"/>
                <w:szCs w:val="20"/>
              </w:rPr>
              <w:t xml:space="preserve"> </w:t>
            </w:r>
            <w:r>
              <w:rPr>
                <w:sz w:val="14"/>
                <w:szCs w:val="14"/>
              </w:rPr>
              <w:t>(1</w:t>
            </w:r>
            <w:r>
              <w:rPr>
                <w:sz w:val="14"/>
                <w:szCs w:val="14"/>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30</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30</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91</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91</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divId w:val="1784694202"/>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Other comprehensive los</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30</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30</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91</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91</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divId w:val="1784694202"/>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Balance, end of perio</w:t>
            </w:r>
            <w:r>
              <w:rPr>
                <w:sz w:val="20"/>
                <w:szCs w:val="20"/>
              </w:rPr>
              <w:t>d</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4,80</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5,59</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4,80</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5,59</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1784694202"/>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divId w:val="1784694202"/>
          <w:trHeight w:val="200"/>
          <w:tblCellSpacing w:w="15" w:type="dxa"/>
        </w:trPr>
        <w:tc>
          <w:tcPr>
            <w:tcW w:w="0" w:type="auto"/>
            <w:hideMark/>
          </w:tcPr>
          <w:p w:rsidR="00000000" w:rsidRDefault="00A749A6">
            <w:pPr>
              <w:pStyle w:val="a3"/>
              <w:spacing w:before="0" w:beforeAutospacing="0" w:after="0" w:afterAutospacing="0"/>
              <w:rPr>
                <w:sz w:val="20"/>
                <w:szCs w:val="20"/>
              </w:rPr>
            </w:pPr>
            <w:r>
              <w:rPr>
                <w:b/>
                <w:bCs/>
                <w:sz w:val="20"/>
                <w:szCs w:val="20"/>
              </w:rPr>
              <w:t>Accumulated Other Comprehensive Income (Loss</w:t>
            </w:r>
            <w:r>
              <w:rPr>
                <w:b/>
                <w:bCs/>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r>
      <w:tr w:rsidR="00000000">
        <w:trPr>
          <w:divId w:val="1784694202"/>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Balance, beginning of perio</w:t>
            </w:r>
            <w:r>
              <w:rPr>
                <w:sz w:val="20"/>
                <w:szCs w:val="20"/>
              </w:rPr>
              <w:t>d</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16,99</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24,02</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17,58</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25,77</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divId w:val="1784694202"/>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Reclassifications to earning</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29</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59</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88</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1,77</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1784694202"/>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Recognition of net actuarial loss for pension settlemen</w:t>
            </w:r>
            <w:r>
              <w:rPr>
                <w:sz w:val="20"/>
                <w:szCs w:val="20"/>
              </w:rPr>
              <w:t>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63</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14</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63</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71</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1784694202"/>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Other comprehensive incom</w:t>
            </w:r>
            <w:r>
              <w:rPr>
                <w:sz w:val="20"/>
                <w:szCs w:val="20"/>
              </w:rPr>
              <w:t>e</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92</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73</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1,51</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2,49</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1784694202"/>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Balance, end of perio</w:t>
            </w:r>
            <w:r>
              <w:rPr>
                <w:sz w:val="20"/>
                <w:szCs w:val="20"/>
              </w:rPr>
              <w:t>d</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16,06</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23,28</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16,06</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23,28</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bl>
    <w:p w:rsidR="00000000" w:rsidRDefault="00A749A6">
      <w:pPr>
        <w:pStyle w:val="a3"/>
        <w:spacing w:before="0" w:beforeAutospacing="0" w:after="0" w:afterAutospacing="0"/>
        <w:ind w:left="476" w:hanging="581"/>
        <w:jc w:val="both"/>
        <w:divId w:val="1784694202"/>
        <w:rPr>
          <w:sz w:val="20"/>
          <w:szCs w:val="20"/>
        </w:rPr>
      </w:pPr>
      <w:r>
        <w:rPr>
          <w:sz w:val="20"/>
          <w:szCs w:val="20"/>
        </w:rPr>
        <w:t> </w:t>
      </w:r>
    </w:p>
    <w:p w:rsidR="00000000" w:rsidRDefault="00A749A6">
      <w:pPr>
        <w:jc w:val="both"/>
        <w:divId w:val="1845899594"/>
        <w:rPr>
          <w:rFonts w:eastAsia="Times New Roman"/>
          <w:sz w:val="20"/>
          <w:szCs w:val="20"/>
        </w:rPr>
      </w:pPr>
      <w:r>
        <w:rPr>
          <w:rFonts w:eastAsia="Times New Roman"/>
          <w:sz w:val="20"/>
          <w:szCs w:val="20"/>
        </w:rPr>
        <w:t>(1</w:t>
      </w:r>
      <w:r>
        <w:rPr>
          <w:rFonts w:eastAsia="Times New Roman"/>
          <w:sz w:val="20"/>
          <w:szCs w:val="20"/>
        </w:rPr>
        <w:t>)</w:t>
      </w:r>
    </w:p>
    <w:p w:rsidR="00000000" w:rsidRDefault="00A749A6">
      <w:pPr>
        <w:jc w:val="both"/>
        <w:divId w:val="1819112149"/>
        <w:rPr>
          <w:rFonts w:eastAsia="Times New Roman"/>
          <w:sz w:val="20"/>
          <w:szCs w:val="20"/>
        </w:rPr>
      </w:pPr>
      <w:r>
        <w:rPr>
          <w:rFonts w:eastAsia="Times New Roman"/>
          <w:sz w:val="20"/>
          <w:szCs w:val="20"/>
        </w:rPr>
        <w:t>These amounts are included in the computation of net periodic benefit cost. See Note 15, “Pension Plans and Other Postretirement Benefits.</w:t>
      </w:r>
      <w:r>
        <w:rPr>
          <w:rFonts w:eastAsia="Times New Roman"/>
          <w:sz w:val="20"/>
          <w:szCs w:val="20"/>
        </w:rPr>
        <w:t>”</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jc w:val="both"/>
        <w:divId w:val="1171487254"/>
        <w:rPr>
          <w:rFonts w:eastAsia="Times New Roman"/>
          <w:sz w:val="20"/>
          <w:szCs w:val="20"/>
        </w:rPr>
      </w:pPr>
      <w:r>
        <w:rPr>
          <w:rFonts w:eastAsia="Times New Roman"/>
          <w:b/>
          <w:bCs/>
          <w:sz w:val="20"/>
          <w:szCs w:val="20"/>
        </w:rPr>
        <w:t>17</w:t>
      </w:r>
      <w:r>
        <w:rPr>
          <w:rFonts w:eastAsia="Times New Roman"/>
          <w:b/>
          <w:bCs/>
          <w:sz w:val="20"/>
          <w:szCs w:val="20"/>
        </w:rPr>
        <w:t>.</w:t>
      </w:r>
    </w:p>
    <w:p w:rsidR="00000000" w:rsidRDefault="00A749A6">
      <w:pPr>
        <w:jc w:val="both"/>
        <w:divId w:val="719943113"/>
        <w:rPr>
          <w:rFonts w:eastAsia="Times New Roman"/>
          <w:sz w:val="20"/>
          <w:szCs w:val="20"/>
        </w:rPr>
      </w:pPr>
      <w:r>
        <w:rPr>
          <w:rFonts w:eastAsia="Times New Roman"/>
          <w:b/>
          <w:bCs/>
          <w:sz w:val="20"/>
          <w:szCs w:val="20"/>
        </w:rPr>
        <w:t>Income Taxe</w:t>
      </w:r>
      <w:r>
        <w:rPr>
          <w:rFonts w:eastAsia="Times New Roman"/>
          <w:b/>
          <w:bCs/>
          <w:sz w:val="20"/>
          <w:szCs w:val="20"/>
        </w:rPr>
        <w:t>s</w:t>
      </w:r>
    </w:p>
    <w:p w:rsidR="00000000" w:rsidRDefault="00A749A6">
      <w:pPr>
        <w:pStyle w:val="a3"/>
        <w:spacing w:before="120" w:beforeAutospacing="0" w:after="0" w:afterAutospacing="0"/>
        <w:jc w:val="both"/>
        <w:divId w:val="999621038"/>
        <w:rPr>
          <w:sz w:val="20"/>
          <w:szCs w:val="20"/>
        </w:rPr>
      </w:pPr>
      <w:r>
        <w:rPr>
          <w:sz w:val="20"/>
          <w:szCs w:val="20"/>
        </w:rPr>
        <w:t>For federal income tax purposes, as well as for state income tax purposes in the majority of the states in which the Partnership operates, the earnings attributable to the Partnership and the Operating Partnership are not subject to income tax at the partn</w:t>
      </w:r>
      <w:r>
        <w:rPr>
          <w:sz w:val="20"/>
          <w:szCs w:val="20"/>
        </w:rPr>
        <w:t>ership level. With the exception of those states that impose an entity-level income tax on partnerships, the taxable income or loss attributable to the Partnership and to the Operating Partnership, which may vary substantially from the income (loss) before</w:t>
      </w:r>
      <w:r>
        <w:rPr>
          <w:sz w:val="20"/>
          <w:szCs w:val="20"/>
        </w:rPr>
        <w:t xml:space="preserve"> income taxes reported by the Partnership in the condensed consolidated statement of operations, are includable in the federal and state income tax returns of the Common Unitholders. The aggregate difference in the basis of the Partnership’s net assets for</w:t>
      </w:r>
      <w:r>
        <w:rPr>
          <w:sz w:val="20"/>
          <w:szCs w:val="20"/>
        </w:rPr>
        <w:t xml:space="preserve"> financial and tax reporting purposes cannot be readily determined as the Partnership does not have access to each Common Unitholder’s basis in the Partnership</w:t>
      </w:r>
      <w:r>
        <w:rPr>
          <w:sz w:val="20"/>
          <w:szCs w:val="20"/>
        </w:rPr>
        <w:t>.</w:t>
      </w:r>
    </w:p>
    <w:p w:rsidR="00000000" w:rsidRDefault="00A749A6">
      <w:pPr>
        <w:pStyle w:val="a3"/>
        <w:spacing w:before="240" w:beforeAutospacing="0" w:after="0" w:afterAutospacing="0"/>
        <w:jc w:val="both"/>
        <w:divId w:val="999621038"/>
        <w:rPr>
          <w:sz w:val="20"/>
          <w:szCs w:val="20"/>
        </w:rPr>
      </w:pPr>
      <w:r>
        <w:rPr>
          <w:sz w:val="20"/>
          <w:szCs w:val="20"/>
        </w:rPr>
        <w:t>As described in Note 1, “Partnership Organization and Formation,” the earnings of the Corporate</w:t>
      </w:r>
      <w:r>
        <w:rPr>
          <w:sz w:val="20"/>
          <w:szCs w:val="20"/>
        </w:rPr>
        <w:t xml:space="preserve"> Entities are subject to U.S. corporate level income tax. However, based upon past performance, the Corporate Entities are currently reporting an income tax provision composed primarily of minimum state income taxes. A full valuation allowance has been pro</w:t>
      </w:r>
      <w:r>
        <w:rPr>
          <w:sz w:val="20"/>
          <w:szCs w:val="20"/>
        </w:rPr>
        <w:t>vided against the deferred tax assets (with the exception of certain net operating loss carryforwards (“NOLs”), that arose after 2017) based upon an analysis of all available evidence, both negative and positive at the balance sheet date, which, taken as a</w:t>
      </w:r>
      <w:r>
        <w:rPr>
          <w:sz w:val="20"/>
          <w:szCs w:val="20"/>
        </w:rPr>
        <w:t xml:space="preserve"> whole, indicates that it is more likely than not that sufficient future taxable income will not be available to utilize the assets. Management’s periodic reviews include, among other things, the nature and amount of the taxable income and expense items, t</w:t>
      </w:r>
      <w:r>
        <w:rPr>
          <w:sz w:val="20"/>
          <w:szCs w:val="20"/>
        </w:rPr>
        <w:t>he expected timing of when assets will be used or liabilities will be required to be reported and the reliability of historical profitability of businesses expected to provide future earnings. Furthermore, management considered tax-planning strategies it c</w:t>
      </w:r>
      <w:r>
        <w:rPr>
          <w:sz w:val="20"/>
          <w:szCs w:val="20"/>
        </w:rPr>
        <w:t>ould use to increase the likelihood that the deferred tax assets will be realized</w:t>
      </w:r>
      <w:r>
        <w:rPr>
          <w:sz w:val="20"/>
          <w:szCs w:val="20"/>
        </w:rPr>
        <w:t>.</w:t>
      </w:r>
    </w:p>
    <w:p w:rsidR="00000000" w:rsidRDefault="00A749A6">
      <w:pPr>
        <w:pStyle w:val="a3"/>
        <w:spacing w:before="240" w:beforeAutospacing="0" w:after="0" w:afterAutospacing="0"/>
        <w:jc w:val="both"/>
        <w:divId w:val="999621038"/>
        <w:rPr>
          <w:sz w:val="20"/>
          <w:szCs w:val="20"/>
        </w:rPr>
      </w:pPr>
      <w:r>
        <w:rPr>
          <w:sz w:val="20"/>
          <w:szCs w:val="20"/>
        </w:rPr>
        <w:t xml:space="preserve">As a result of the Tax Cuts and Jobs Act, NOLs generated by the Corporate Entities beginning in 2018 may be carried forward indefinitely. The Corporate Entities generated a </w:t>
      </w:r>
      <w:r>
        <w:rPr>
          <w:sz w:val="20"/>
          <w:szCs w:val="20"/>
        </w:rPr>
        <w:t xml:space="preserve">taxable loss during the 2021 tax year, which resulted in a </w:t>
      </w:r>
      <w:r>
        <w:rPr>
          <w:sz w:val="20"/>
          <w:szCs w:val="20"/>
        </w:rPr>
        <w:t>$</w:t>
      </w:r>
      <w:r>
        <w:rPr>
          <w:sz w:val="20"/>
          <w:szCs w:val="20"/>
        </w:rPr>
        <w:t>63</w:t>
      </w:r>
      <w:r>
        <w:rPr>
          <w:sz w:val="20"/>
          <w:szCs w:val="20"/>
        </w:rPr>
        <w:t>8</w:t>
      </w:r>
      <w:r>
        <w:rPr>
          <w:sz w:val="20"/>
          <w:szCs w:val="20"/>
        </w:rPr>
        <w:t xml:space="preserve"> discrete deferred tax benefit recorded during the first quarter of fiscal 2022</w:t>
      </w:r>
      <w:r>
        <w:rPr>
          <w:sz w:val="20"/>
          <w:szCs w:val="20"/>
        </w:rPr>
        <w:t>.</w:t>
      </w:r>
      <w:r>
        <w:rPr>
          <w:sz w:val="20"/>
          <w:szCs w:val="20"/>
        </w:rPr>
        <w:t xml:space="preserve">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2</w:t>
      </w:r>
      <w:r>
        <w:rPr>
          <w:sz w:val="20"/>
          <w:szCs w:val="20"/>
        </w:rPr>
        <w:t>1</w:t>
      </w:r>
    </w:p>
    <w:p w:rsidR="00000000" w:rsidRDefault="00A749A6">
      <w:pPr>
        <w:rPr>
          <w:rFonts w:eastAsia="Times New Roman"/>
        </w:rPr>
      </w:pPr>
      <w:r>
        <w:rPr>
          <w:rFonts w:eastAsia="Times New Roman"/>
        </w:rPr>
        <w:pict>
          <v:rect id="_x0000_i1049" style="width:0;height:1.5pt" o:hralign="center" o:hrstd="t" o:hr="t" fillcolor="#a0a0a0" stroked="f"/>
        </w:pict>
      </w:r>
    </w:p>
    <w:p w:rsidR="00000000" w:rsidRDefault="00A749A6">
      <w:pPr>
        <w:pStyle w:val="a3"/>
        <w:spacing w:before="0" w:beforeAutospacing="0" w:after="0" w:afterAutospacing="0"/>
        <w:rPr>
          <w:sz w:val="20"/>
          <w:szCs w:val="20"/>
        </w:rPr>
      </w:pPr>
      <w:hyperlink w:anchor="suburban_propane_partners_lp_subsidiari" w:history="1">
        <w:r>
          <w:rPr>
            <w:rStyle w:val="a4"/>
            <w:sz w:val="20"/>
            <w:szCs w:val="20"/>
          </w:rPr>
          <w:t xml:space="preserve">Table </w:t>
        </w:r>
        <w:r>
          <w:rPr>
            <w:rStyle w:val="a4"/>
            <w:sz w:val="20"/>
            <w:szCs w:val="20"/>
          </w:rPr>
          <w:t>of Content</w:t>
        </w:r>
        <w:r>
          <w:rPr>
            <w:rStyle w:val="a4"/>
            <w:sz w:val="20"/>
            <w:szCs w:val="20"/>
          </w:rPr>
          <w:t>s</w:t>
        </w:r>
      </w:hyperlink>
    </w:p>
    <w:p w:rsidR="00000000" w:rsidRDefault="00A749A6">
      <w:pPr>
        <w:jc w:val="both"/>
        <w:divId w:val="176388766"/>
        <w:rPr>
          <w:rFonts w:eastAsia="Times New Roman"/>
          <w:sz w:val="20"/>
          <w:szCs w:val="20"/>
        </w:rPr>
      </w:pPr>
      <w:r>
        <w:rPr>
          <w:rFonts w:eastAsia="Times New Roman"/>
          <w:b/>
          <w:bCs/>
          <w:sz w:val="20"/>
          <w:szCs w:val="20"/>
        </w:rPr>
        <w:t>18</w:t>
      </w:r>
      <w:r>
        <w:rPr>
          <w:rFonts w:eastAsia="Times New Roman"/>
          <w:b/>
          <w:bCs/>
          <w:sz w:val="20"/>
          <w:szCs w:val="20"/>
        </w:rPr>
        <w:t>.</w:t>
      </w:r>
    </w:p>
    <w:p w:rsidR="00000000" w:rsidRDefault="00A749A6">
      <w:pPr>
        <w:jc w:val="both"/>
        <w:divId w:val="2010593774"/>
        <w:rPr>
          <w:rFonts w:eastAsia="Times New Roman"/>
          <w:sz w:val="20"/>
          <w:szCs w:val="20"/>
        </w:rPr>
      </w:pPr>
      <w:r>
        <w:rPr>
          <w:rFonts w:eastAsia="Times New Roman"/>
          <w:b/>
          <w:bCs/>
          <w:sz w:val="20"/>
          <w:szCs w:val="20"/>
        </w:rPr>
        <w:t>Segment Informatio</w:t>
      </w:r>
      <w:r>
        <w:rPr>
          <w:rFonts w:eastAsia="Times New Roman"/>
          <w:b/>
          <w:bCs/>
          <w:sz w:val="20"/>
          <w:szCs w:val="20"/>
        </w:rPr>
        <w:t>n</w:t>
      </w:r>
    </w:p>
    <w:p w:rsidR="00000000" w:rsidRDefault="00A749A6">
      <w:pPr>
        <w:pStyle w:val="a3"/>
        <w:spacing w:before="120" w:beforeAutospacing="0" w:after="0" w:afterAutospacing="0"/>
        <w:jc w:val="both"/>
        <w:divId w:val="1024818927"/>
        <w:rPr>
          <w:sz w:val="20"/>
          <w:szCs w:val="20"/>
        </w:rPr>
      </w:pPr>
      <w:r>
        <w:rPr>
          <w:sz w:val="20"/>
          <w:szCs w:val="20"/>
        </w:rPr>
        <w:t>The Partnership manages and evaluates its operations in</w:t>
      </w:r>
      <w:r>
        <w:rPr>
          <w:sz w:val="20"/>
          <w:szCs w:val="20"/>
        </w:rPr>
        <w:t xml:space="preserve"> </w:t>
      </w:r>
      <w:r>
        <w:rPr>
          <w:sz w:val="20"/>
          <w:szCs w:val="20"/>
        </w:rPr>
        <w:t>fou</w:t>
      </w:r>
      <w:r>
        <w:rPr>
          <w:sz w:val="20"/>
          <w:szCs w:val="20"/>
        </w:rPr>
        <w:t>r</w:t>
      </w:r>
      <w:r>
        <w:rPr>
          <w:sz w:val="20"/>
          <w:szCs w:val="20"/>
        </w:rPr>
        <w:t xml:space="preserve"> operating segments,</w:t>
      </w:r>
      <w:r>
        <w:rPr>
          <w:sz w:val="20"/>
          <w:szCs w:val="20"/>
        </w:rPr>
        <w:t xml:space="preserve"> </w:t>
      </w:r>
      <w:r>
        <w:rPr>
          <w:sz w:val="20"/>
          <w:szCs w:val="20"/>
        </w:rPr>
        <w:t>thre</w:t>
      </w:r>
      <w:r>
        <w:rPr>
          <w:sz w:val="20"/>
          <w:szCs w:val="20"/>
        </w:rPr>
        <w:t>e</w:t>
      </w:r>
      <w:r>
        <w:rPr>
          <w:sz w:val="20"/>
          <w:szCs w:val="20"/>
        </w:rPr>
        <w:t xml:space="preserve"> </w:t>
      </w:r>
      <w:r>
        <w:rPr>
          <w:sz w:val="20"/>
          <w:szCs w:val="20"/>
        </w:rPr>
        <w:t>of which are reportable segments: Propane, Fuel Oil and Refined Fuels, and Natural Gas and Electricity. The chief operating decision maker evaluates performance of the operating segments using a number of performance measures, including gross margins and i</w:t>
      </w:r>
      <w:r>
        <w:rPr>
          <w:sz w:val="20"/>
          <w:szCs w:val="20"/>
        </w:rPr>
        <w:t>ncome before interest expense and provision for income taxes (operating profit). Costs excluded from these profit measures are captured in Corporate and include corporate overhead expenses not allocated to the operating segments. Unallocated corporate over</w:t>
      </w:r>
      <w:r>
        <w:rPr>
          <w:sz w:val="20"/>
          <w:szCs w:val="20"/>
        </w:rPr>
        <w:t>head expenses include all costs of back office support functions that are reported as general and administrative expenses within the condensed consolidated statements of operations. In addition, certain costs associated with field operations support that a</w:t>
      </w:r>
      <w:r>
        <w:rPr>
          <w:sz w:val="20"/>
          <w:szCs w:val="20"/>
        </w:rPr>
        <w:t>re reported in operating expenses within the condensed consolidated statements of operations, including purchasing, training and safety, are not allocated to the individual operating segments. Thus, operating profit for each operating segment includes only</w:t>
      </w:r>
      <w:r>
        <w:rPr>
          <w:sz w:val="20"/>
          <w:szCs w:val="20"/>
        </w:rPr>
        <w:t xml:space="preserve"> the costs that are directly attributable to the operations of the individual segment. The accounting policies of the operating segments are otherwise the same as those described in Note 2, “Summary of Significant Accounting Policies,” in the Partnership’s</w:t>
      </w:r>
      <w:r>
        <w:rPr>
          <w:sz w:val="20"/>
          <w:szCs w:val="20"/>
        </w:rPr>
        <w:t xml:space="preserve"> Annual Report on Form 10-K for the fiscal year ended</w:t>
      </w:r>
      <w:r>
        <w:rPr>
          <w:sz w:val="20"/>
          <w:szCs w:val="20"/>
        </w:rPr>
        <w:t xml:space="preserve"> </w:t>
      </w:r>
      <w:r>
        <w:rPr>
          <w:sz w:val="20"/>
          <w:szCs w:val="20"/>
        </w:rPr>
        <w:t>September 25, 2021</w:t>
      </w:r>
      <w:r>
        <w:rPr>
          <w:sz w:val="20"/>
          <w:szCs w:val="20"/>
        </w:rPr>
        <w:t>.</w:t>
      </w:r>
    </w:p>
    <w:p w:rsidR="00000000" w:rsidRDefault="00A749A6">
      <w:pPr>
        <w:pStyle w:val="a3"/>
        <w:spacing w:before="240" w:beforeAutospacing="0" w:after="0" w:afterAutospacing="0"/>
        <w:jc w:val="both"/>
        <w:divId w:val="1024818927"/>
        <w:rPr>
          <w:sz w:val="20"/>
          <w:szCs w:val="20"/>
        </w:rPr>
      </w:pPr>
      <w:r>
        <w:rPr>
          <w:sz w:val="20"/>
          <w:szCs w:val="20"/>
        </w:rPr>
        <w:t xml:space="preserve">The propane segment is primarily engaged in the retail distribution of propane to residential, commercial, industrial, agricultural and government customers and, to a lesser extent, </w:t>
      </w:r>
      <w:r>
        <w:rPr>
          <w:sz w:val="20"/>
          <w:szCs w:val="20"/>
        </w:rPr>
        <w:t xml:space="preserve">wholesale distribution to large industrial end users. In the residential, commercial and government markets, propane is used primarily for space heating, water heating, cooking and clothes drying. Industrial customers use propane generally as a motor fuel </w:t>
      </w:r>
      <w:r>
        <w:rPr>
          <w:sz w:val="20"/>
          <w:szCs w:val="20"/>
        </w:rPr>
        <w:t>burned in internal combustion engines that power over-the-road vehicles, forklifts and stationary engines, to fire furnaces and as a cutting gas. In the agricultural markets, propane is primarily used for tobacco curing, crop drying, poultry brooding and w</w:t>
      </w:r>
      <w:r>
        <w:rPr>
          <w:sz w:val="20"/>
          <w:szCs w:val="20"/>
        </w:rPr>
        <w:t>eed control. In addition, the Partnership’s equity investment in Oberon is included within the propane segment</w:t>
      </w:r>
      <w:r>
        <w:rPr>
          <w:sz w:val="20"/>
          <w:szCs w:val="20"/>
        </w:rPr>
        <w:t>.</w:t>
      </w:r>
    </w:p>
    <w:p w:rsidR="00000000" w:rsidRDefault="00A749A6">
      <w:pPr>
        <w:pStyle w:val="a3"/>
        <w:spacing w:before="240" w:beforeAutospacing="0" w:after="0" w:afterAutospacing="0"/>
        <w:jc w:val="both"/>
        <w:divId w:val="1024818927"/>
        <w:rPr>
          <w:sz w:val="20"/>
          <w:szCs w:val="20"/>
        </w:rPr>
      </w:pPr>
      <w:r>
        <w:rPr>
          <w:sz w:val="20"/>
          <w:szCs w:val="20"/>
        </w:rPr>
        <w:t>The fuel oil and refined fuels segment is primarily engaged in the retail distribution of fuel oil, diesel, kerosene and gasoline to residential</w:t>
      </w:r>
      <w:r>
        <w:rPr>
          <w:sz w:val="20"/>
          <w:szCs w:val="20"/>
        </w:rPr>
        <w:t xml:space="preserve"> and commercial customers for use primarily as a source of heat in homes and buildings</w:t>
      </w:r>
      <w:r>
        <w:rPr>
          <w:sz w:val="20"/>
          <w:szCs w:val="20"/>
        </w:rPr>
        <w:t>.</w:t>
      </w:r>
    </w:p>
    <w:p w:rsidR="00000000" w:rsidRDefault="00A749A6">
      <w:pPr>
        <w:pStyle w:val="a3"/>
        <w:spacing w:before="240" w:beforeAutospacing="0" w:after="0" w:afterAutospacing="0"/>
        <w:jc w:val="both"/>
        <w:divId w:val="1024818927"/>
        <w:rPr>
          <w:sz w:val="20"/>
          <w:szCs w:val="20"/>
        </w:rPr>
      </w:pPr>
      <w:r>
        <w:rPr>
          <w:sz w:val="20"/>
          <w:szCs w:val="20"/>
        </w:rPr>
        <w:t>The natural gas and electricity segment is engaged in the marketing of natural gas and electricity to residential and commercial customers in the deregulated energy mar</w:t>
      </w:r>
      <w:r>
        <w:rPr>
          <w:sz w:val="20"/>
          <w:szCs w:val="20"/>
        </w:rPr>
        <w:t>kets of New York and Pennsylvania. Under this operating segment, the Partnership owns the relationship with the end consumer and has agreements with the local distribution companies to deliver the natural gas or electricity from the Partnership’s suppliers</w:t>
      </w:r>
      <w:r>
        <w:rPr>
          <w:sz w:val="20"/>
          <w:szCs w:val="20"/>
        </w:rPr>
        <w:t xml:space="preserve"> to the customer</w:t>
      </w:r>
      <w:r>
        <w:rPr>
          <w:sz w:val="20"/>
          <w:szCs w:val="20"/>
        </w:rPr>
        <w:t>.</w:t>
      </w:r>
    </w:p>
    <w:p w:rsidR="00000000" w:rsidRDefault="00A749A6">
      <w:pPr>
        <w:pStyle w:val="a3"/>
        <w:spacing w:before="240" w:beforeAutospacing="0" w:after="0" w:afterAutospacing="0"/>
        <w:jc w:val="both"/>
        <w:divId w:val="1024818927"/>
        <w:rPr>
          <w:sz w:val="20"/>
          <w:szCs w:val="20"/>
        </w:rPr>
      </w:pPr>
      <w:r>
        <w:rPr>
          <w:sz w:val="20"/>
          <w:szCs w:val="20"/>
        </w:rPr>
        <w:t>Activities in the “all other” category include the Partnership’s service business, which is primarily engaged in the sale, installation and servicing of a wide variety of home comfort equipment, particularly in the areas of heating and ve</w:t>
      </w:r>
      <w:r>
        <w:rPr>
          <w:sz w:val="20"/>
          <w:szCs w:val="20"/>
        </w:rPr>
        <w:t>ntilation. In addition, the Partnership’s equity investment in IH and investments in biodigester systems for the production of RNG are included within “all other”</w:t>
      </w:r>
      <w:r>
        <w:rPr>
          <w:sz w:val="20"/>
          <w:szCs w:val="20"/>
        </w:rPr>
        <w:t>.</w:t>
      </w:r>
    </w:p>
    <w:p w:rsidR="00000000" w:rsidRDefault="00A749A6">
      <w:pPr>
        <w:pStyle w:val="a3"/>
        <w:spacing w:before="0" w:beforeAutospacing="0" w:after="0" w:afterAutospacing="0"/>
        <w:jc w:val="center"/>
        <w:divId w:val="1024818927"/>
        <w:rPr>
          <w:sz w:val="20"/>
          <w:szCs w:val="20"/>
        </w:rPr>
      </w:pPr>
      <w:r>
        <w:rPr>
          <w:sz w:val="20"/>
          <w:szCs w:val="20"/>
        </w:rPr>
        <w:t> </w:t>
      </w:r>
    </w:p>
    <w:p w:rsidR="00000000" w:rsidRDefault="00A749A6">
      <w:pPr>
        <w:pStyle w:val="a3"/>
        <w:spacing w:before="0" w:beforeAutospacing="0" w:after="0" w:afterAutospacing="0"/>
        <w:jc w:val="center"/>
        <w:divId w:val="1024818927"/>
        <w:rPr>
          <w:sz w:val="20"/>
          <w:szCs w:val="20"/>
        </w:rPr>
      </w:pPr>
      <w:r>
        <w:rPr>
          <w:sz w:val="20"/>
          <w:szCs w:val="20"/>
        </w:rPr>
        <w:t>2</w:t>
      </w:r>
      <w:r>
        <w:rPr>
          <w:sz w:val="20"/>
          <w:szCs w:val="20"/>
        </w:rPr>
        <w:t>2</w:t>
      </w:r>
    </w:p>
    <w:p w:rsidR="00000000" w:rsidRDefault="00A749A6">
      <w:pPr>
        <w:divId w:val="1024818927"/>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A749A6">
      <w:pPr>
        <w:pStyle w:val="a3"/>
        <w:spacing w:before="0" w:beforeAutospacing="0" w:after="0" w:afterAutospacing="0"/>
        <w:divId w:val="1024818927"/>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240" w:beforeAutospacing="0" w:after="0" w:afterAutospacing="0"/>
        <w:jc w:val="both"/>
        <w:divId w:val="963269429"/>
        <w:rPr>
          <w:sz w:val="20"/>
          <w:szCs w:val="20"/>
        </w:rPr>
      </w:pPr>
      <w:r>
        <w:rPr>
          <w:sz w:val="20"/>
          <w:szCs w:val="20"/>
        </w:rPr>
        <w:t>The following table presents certain data by reportable segment and provides a reconciliation of total operating segment information to the corresponding consolidated amounts for the periods presented</w:t>
      </w:r>
      <w:r>
        <w:rPr>
          <w:sz w:val="20"/>
          <w:szCs w:val="20"/>
        </w:rPr>
        <w:t>:</w:t>
      </w:r>
    </w:p>
    <w:p w:rsidR="00000000" w:rsidRDefault="00A749A6">
      <w:pPr>
        <w:pStyle w:val="a3"/>
        <w:spacing w:before="0" w:beforeAutospacing="0" w:after="0" w:afterAutospacing="0"/>
        <w:jc w:val="both"/>
        <w:divId w:val="963269429"/>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732"/>
        <w:gridCol w:w="110"/>
        <w:gridCol w:w="160"/>
        <w:gridCol w:w="710"/>
        <w:gridCol w:w="127"/>
        <w:gridCol w:w="110"/>
        <w:gridCol w:w="160"/>
        <w:gridCol w:w="710"/>
        <w:gridCol w:w="127"/>
        <w:gridCol w:w="110"/>
        <w:gridCol w:w="160"/>
        <w:gridCol w:w="860"/>
        <w:gridCol w:w="127"/>
        <w:gridCol w:w="110"/>
        <w:gridCol w:w="160"/>
        <w:gridCol w:w="860"/>
        <w:gridCol w:w="142"/>
      </w:tblGrid>
      <w:tr w:rsidR="00000000">
        <w:trPr>
          <w:divId w:val="963269429"/>
          <w:tblCellSpacing w:w="15" w:type="dxa"/>
        </w:trPr>
        <w:tc>
          <w:tcPr>
            <w:tcW w:w="2484" w:type="pct"/>
            <w:vAlign w:val="center"/>
            <w:hideMark/>
          </w:tcPr>
          <w:p w:rsidR="00000000" w:rsidRDefault="00A749A6">
            <w:pPr>
              <w:rPr>
                <w:sz w:val="20"/>
                <w:szCs w:val="20"/>
              </w:rPr>
            </w:pPr>
          </w:p>
        </w:tc>
        <w:tc>
          <w:tcPr>
            <w:tcW w:w="6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7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66"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7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66"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divId w:val="963269429"/>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Nine Months Ende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963269429"/>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26</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26</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963269429"/>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963269429"/>
          <w:trHeight w:val="200"/>
          <w:tblCellSpacing w:w="15" w:type="dxa"/>
        </w:trPr>
        <w:tc>
          <w:tcPr>
            <w:tcW w:w="0" w:type="auto"/>
            <w:hideMark/>
          </w:tcPr>
          <w:p w:rsidR="00000000" w:rsidRDefault="00A749A6">
            <w:pPr>
              <w:pStyle w:val="a3"/>
              <w:spacing w:before="0" w:beforeAutospacing="0" w:after="0" w:afterAutospacing="0"/>
              <w:rPr>
                <w:sz w:val="20"/>
                <w:szCs w:val="20"/>
              </w:rPr>
            </w:pPr>
            <w:r>
              <w:rPr>
                <w:b/>
                <w:bCs/>
                <w:sz w:val="20"/>
                <w:szCs w:val="20"/>
              </w:rPr>
              <w:t>Revenues</w:t>
            </w:r>
            <w:r>
              <w:rPr>
                <w:b/>
                <w:bCs/>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divId w:val="963269429"/>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Propan</w:t>
            </w:r>
            <w:r>
              <w:rPr>
                <w:sz w:val="20"/>
                <w:szCs w:val="20"/>
              </w:rPr>
              <w:t>e</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260,63</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208,68</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1,108,57</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958,64</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963269429"/>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19,27</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11,31</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83,74</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59,07</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963269429"/>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Natural gas and electricit</w:t>
            </w:r>
            <w:r>
              <w:rPr>
                <w:sz w:val="20"/>
                <w:szCs w:val="20"/>
              </w:rPr>
              <w:t>y</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7,54</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5,83</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31,16</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23,46</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963269429"/>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All othe</w:t>
            </w:r>
            <w:r>
              <w:rPr>
                <w:sz w:val="20"/>
                <w:szCs w:val="20"/>
              </w:rPr>
              <w:t>r</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12,87</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12,24</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40,35</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39,33</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963269429"/>
          <w:trHeight w:val="200"/>
          <w:tblCellSpacing w:w="15" w:type="dxa"/>
        </w:trPr>
        <w:tc>
          <w:tcPr>
            <w:tcW w:w="0" w:type="auto"/>
            <w:hideMark/>
          </w:tcPr>
          <w:p w:rsidR="00000000" w:rsidRDefault="00A749A6">
            <w:pPr>
              <w:pStyle w:val="a3"/>
              <w:spacing w:before="0" w:beforeAutospacing="0" w:after="0" w:afterAutospacing="0"/>
              <w:ind w:left="400"/>
              <w:rPr>
                <w:sz w:val="20"/>
                <w:szCs w:val="20"/>
              </w:rPr>
            </w:pPr>
            <w:r>
              <w:rPr>
                <w:sz w:val="20"/>
                <w:szCs w:val="20"/>
              </w:rPr>
              <w:t>Total revenue</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300,33</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238,08</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1,263,83</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1,080,51</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963269429"/>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divId w:val="963269429"/>
          <w:trHeight w:val="200"/>
          <w:tblCellSpacing w:w="15" w:type="dxa"/>
        </w:trPr>
        <w:tc>
          <w:tcPr>
            <w:tcW w:w="0" w:type="auto"/>
            <w:hideMark/>
          </w:tcPr>
          <w:p w:rsidR="00000000" w:rsidRDefault="00A749A6">
            <w:pPr>
              <w:pStyle w:val="a3"/>
              <w:spacing w:before="0" w:beforeAutospacing="0" w:after="0" w:afterAutospacing="0"/>
              <w:rPr>
                <w:sz w:val="20"/>
                <w:szCs w:val="20"/>
              </w:rPr>
            </w:pPr>
            <w:r>
              <w:rPr>
                <w:b/>
                <w:bCs/>
                <w:sz w:val="20"/>
                <w:szCs w:val="20"/>
              </w:rPr>
              <w:t>Operating income (loss)</w:t>
            </w:r>
            <w:r>
              <w:rPr>
                <w:b/>
                <w:bCs/>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divId w:val="963269429"/>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Propan</w:t>
            </w:r>
            <w:r>
              <w:rPr>
                <w:sz w:val="20"/>
                <w:szCs w:val="20"/>
              </w:rPr>
              <w:t>e</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52,17</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41,46</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340,13</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297,15</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963269429"/>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30</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43</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8,57</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9,80</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963269429"/>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Natural gas and electricit</w:t>
            </w:r>
            <w:r>
              <w:rPr>
                <w:sz w:val="20"/>
                <w:szCs w:val="20"/>
              </w:rPr>
              <w:t>y</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79</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1,10</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5,91</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6,46</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963269429"/>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All othe</w:t>
            </w:r>
            <w:r>
              <w:rPr>
                <w:sz w:val="20"/>
                <w:szCs w:val="20"/>
              </w:rPr>
              <w:t>r</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5,99</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5,11</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16,79</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14,41</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divId w:val="963269429"/>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Corporat</w:t>
            </w:r>
            <w:r>
              <w:rPr>
                <w:sz w:val="20"/>
                <w:szCs w:val="20"/>
              </w:rPr>
              <w:t>e</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31,89</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29,01</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93,84</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86,16</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divId w:val="963269429"/>
          <w:trHeight w:val="200"/>
          <w:tblCellSpacing w:w="15" w:type="dxa"/>
        </w:trPr>
        <w:tc>
          <w:tcPr>
            <w:tcW w:w="0" w:type="auto"/>
            <w:hideMark/>
          </w:tcPr>
          <w:p w:rsidR="00000000" w:rsidRDefault="00A749A6">
            <w:pPr>
              <w:pStyle w:val="a3"/>
              <w:spacing w:before="0" w:beforeAutospacing="0" w:after="0" w:afterAutospacing="0"/>
              <w:ind w:left="500"/>
              <w:rPr>
                <w:sz w:val="20"/>
                <w:szCs w:val="20"/>
              </w:rPr>
            </w:pPr>
            <w:r>
              <w:rPr>
                <w:sz w:val="20"/>
                <w:szCs w:val="20"/>
              </w:rPr>
              <w:t>Total operating incom</w:t>
            </w:r>
            <w:r>
              <w:rPr>
                <w:sz w:val="20"/>
                <w:szCs w:val="20"/>
              </w:rPr>
              <w:t>e</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14,77</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8,00</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243,98</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212,84</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963269429"/>
          <w:tblCellSpacing w:w="15" w:type="dxa"/>
        </w:trPr>
        <w:tc>
          <w:tcPr>
            <w:tcW w:w="0" w:type="auto"/>
            <w:hideMark/>
          </w:tcPr>
          <w:p w:rsidR="00000000" w:rsidRDefault="00A749A6">
            <w:pPr>
              <w:pStyle w:val="a3"/>
              <w:spacing w:before="0" w:beforeAutospacing="0" w:after="0" w:afterAutospacing="0"/>
              <w:ind w:left="50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divId w:val="963269429"/>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Reconciliation to net (loss) income</w:t>
            </w: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divId w:val="963269429"/>
          <w:trHeight w:val="200"/>
          <w:tblCellSpacing w:w="15" w:type="dxa"/>
        </w:trPr>
        <w:tc>
          <w:tcPr>
            <w:tcW w:w="0" w:type="auto"/>
            <w:hideMark/>
          </w:tcPr>
          <w:p w:rsidR="00000000" w:rsidRDefault="00A749A6">
            <w:pPr>
              <w:pStyle w:val="a3"/>
              <w:spacing w:before="0" w:beforeAutospacing="0" w:after="0" w:afterAutospacing="0"/>
              <w:ind w:left="400"/>
              <w:rPr>
                <w:sz w:val="20"/>
                <w:szCs w:val="20"/>
              </w:rPr>
            </w:pPr>
            <w:r>
              <w:rPr>
                <w:sz w:val="20"/>
                <w:szCs w:val="20"/>
              </w:rPr>
              <w:t>Loss on debt extinguishmen</w:t>
            </w:r>
            <w:r>
              <w:rPr>
                <w:sz w:val="20"/>
                <w:szCs w:val="20"/>
              </w:rPr>
              <w:t>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16,02</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16,02</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963269429"/>
          <w:trHeight w:val="200"/>
          <w:tblCellSpacing w:w="15" w:type="dxa"/>
        </w:trPr>
        <w:tc>
          <w:tcPr>
            <w:tcW w:w="0" w:type="auto"/>
            <w:hideMark/>
          </w:tcPr>
          <w:p w:rsidR="00000000" w:rsidRDefault="00A749A6">
            <w:pPr>
              <w:pStyle w:val="a3"/>
              <w:spacing w:before="0" w:beforeAutospacing="0" w:after="0" w:afterAutospacing="0"/>
              <w:ind w:left="400"/>
              <w:rPr>
                <w:sz w:val="20"/>
                <w:szCs w:val="20"/>
              </w:rPr>
            </w:pPr>
            <w:r>
              <w:rPr>
                <w:sz w:val="20"/>
                <w:szCs w:val="20"/>
              </w:rPr>
              <w:t>Interest expense, ne</w:t>
            </w:r>
            <w:r>
              <w:rPr>
                <w:sz w:val="20"/>
                <w:szCs w:val="20"/>
              </w:rPr>
              <w:t>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15,00</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16,73</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45,55</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52,96</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963269429"/>
          <w:trHeight w:val="200"/>
          <w:tblCellSpacing w:w="15" w:type="dxa"/>
        </w:trPr>
        <w:tc>
          <w:tcPr>
            <w:tcW w:w="0" w:type="auto"/>
            <w:hideMark/>
          </w:tcPr>
          <w:p w:rsidR="00000000" w:rsidRDefault="00A749A6">
            <w:pPr>
              <w:pStyle w:val="a3"/>
              <w:spacing w:before="0" w:beforeAutospacing="0" w:after="0" w:afterAutospacing="0"/>
              <w:ind w:left="400"/>
              <w:rPr>
                <w:sz w:val="20"/>
                <w:szCs w:val="20"/>
              </w:rPr>
            </w:pPr>
            <w:r>
              <w:rPr>
                <w:sz w:val="20"/>
                <w:szCs w:val="20"/>
              </w:rPr>
              <w:t>Other, ne</w:t>
            </w:r>
            <w:r>
              <w:rPr>
                <w:sz w:val="20"/>
                <w:szCs w:val="20"/>
              </w:rPr>
              <w:t>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2,03</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1,08</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4,39</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3,74</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963269429"/>
          <w:trHeight w:val="200"/>
          <w:tblCellSpacing w:w="15" w:type="dxa"/>
        </w:trPr>
        <w:tc>
          <w:tcPr>
            <w:tcW w:w="0" w:type="auto"/>
            <w:hideMark/>
          </w:tcPr>
          <w:p w:rsidR="00000000" w:rsidRDefault="00A749A6">
            <w:pPr>
              <w:pStyle w:val="a3"/>
              <w:spacing w:before="0" w:beforeAutospacing="0" w:after="0" w:afterAutospacing="0"/>
              <w:ind w:left="400"/>
              <w:rPr>
                <w:sz w:val="20"/>
                <w:szCs w:val="20"/>
              </w:rPr>
            </w:pPr>
            <w:r>
              <w:rPr>
                <w:sz w:val="20"/>
                <w:szCs w:val="20"/>
              </w:rPr>
              <w:t>Provision for income taxe</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27</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17</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17</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93</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963269429"/>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Net (loss) incom</w:t>
            </w:r>
            <w:r>
              <w:rPr>
                <w:sz w:val="20"/>
                <w:szCs w:val="20"/>
              </w:rPr>
              <w:t>e</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2,53</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r>
              <w:rPr>
                <w:sz w:val="20"/>
                <w:szCs w:val="20"/>
              </w:rPr>
              <w:t>26,02</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193,86</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139,17</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963269429"/>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divId w:val="963269429"/>
          <w:trHeight w:val="200"/>
          <w:tblCellSpacing w:w="15" w:type="dxa"/>
        </w:trPr>
        <w:tc>
          <w:tcPr>
            <w:tcW w:w="0" w:type="auto"/>
            <w:vAlign w:val="bottom"/>
            <w:hideMark/>
          </w:tcPr>
          <w:p w:rsidR="00000000" w:rsidRDefault="00A749A6">
            <w:pPr>
              <w:pStyle w:val="a3"/>
              <w:spacing w:before="0" w:beforeAutospacing="0" w:after="0" w:afterAutospacing="0"/>
              <w:rPr>
                <w:sz w:val="20"/>
                <w:szCs w:val="20"/>
              </w:rPr>
            </w:pPr>
            <w:r>
              <w:rPr>
                <w:b/>
                <w:bCs/>
                <w:sz w:val="20"/>
                <w:szCs w:val="20"/>
              </w:rPr>
              <w:t>Depreciation and amortization</w:t>
            </w:r>
            <w:r>
              <w:rPr>
                <w:b/>
                <w:bCs/>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divId w:val="963269429"/>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Propan</w:t>
            </w:r>
            <w:r>
              <w:rPr>
                <w:sz w:val="20"/>
                <w:szCs w:val="20"/>
              </w:rPr>
              <w:t>e</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12,05</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25,08</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37,55</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75,76</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963269429"/>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42</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42</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1,27</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1,22</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963269429"/>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Natural gas and electricit</w:t>
            </w:r>
            <w:r>
              <w:rPr>
                <w:sz w:val="20"/>
                <w:szCs w:val="20"/>
              </w:rPr>
              <w:t>y</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963269429"/>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All othe</w:t>
            </w:r>
            <w:r>
              <w:rPr>
                <w:sz w:val="20"/>
                <w:szCs w:val="20"/>
              </w:rPr>
              <w:t>r</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13</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14</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963269429"/>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Corporat</w:t>
            </w:r>
            <w:r>
              <w:rPr>
                <w:sz w:val="20"/>
                <w:szCs w:val="20"/>
              </w:rPr>
              <w:t>e</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1,48</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1,68</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5,37</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5,47</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963269429"/>
          <w:trHeight w:val="200"/>
          <w:tblCellSpacing w:w="15" w:type="dxa"/>
        </w:trPr>
        <w:tc>
          <w:tcPr>
            <w:tcW w:w="0" w:type="auto"/>
            <w:hideMark/>
          </w:tcPr>
          <w:p w:rsidR="00000000" w:rsidRDefault="00A749A6">
            <w:pPr>
              <w:pStyle w:val="a3"/>
              <w:spacing w:before="0" w:beforeAutospacing="0" w:after="0" w:afterAutospacing="0"/>
              <w:ind w:left="400"/>
              <w:rPr>
                <w:sz w:val="20"/>
                <w:szCs w:val="20"/>
              </w:rPr>
            </w:pPr>
            <w:r>
              <w:rPr>
                <w:sz w:val="20"/>
                <w:szCs w:val="20"/>
              </w:rPr>
              <w:t>Total depreciation and amortizatio</w:t>
            </w:r>
            <w:r>
              <w:rPr>
                <w:sz w:val="20"/>
                <w:szCs w:val="20"/>
              </w:rPr>
              <w:t>n</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14,00</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27,25</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44,35</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82,61</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bl>
    <w:p w:rsidR="00000000" w:rsidRDefault="00A749A6">
      <w:pPr>
        <w:pStyle w:val="a3"/>
        <w:spacing w:before="0" w:beforeAutospacing="0" w:after="0" w:afterAutospacing="0"/>
        <w:divId w:val="963269429"/>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46"/>
        <w:gridCol w:w="114"/>
        <w:gridCol w:w="160"/>
        <w:gridCol w:w="907"/>
        <w:gridCol w:w="110"/>
        <w:gridCol w:w="117"/>
        <w:gridCol w:w="161"/>
        <w:gridCol w:w="935"/>
        <w:gridCol w:w="125"/>
      </w:tblGrid>
      <w:tr w:rsidR="00000000">
        <w:trPr>
          <w:divId w:val="963269429"/>
          <w:tblCellSpacing w:w="15" w:type="dxa"/>
        </w:trPr>
        <w:tc>
          <w:tcPr>
            <w:tcW w:w="3363" w:type="pct"/>
            <w:vAlign w:val="center"/>
            <w:hideMark/>
          </w:tcPr>
          <w:p w:rsidR="00000000" w:rsidRDefault="00A749A6">
            <w:pPr>
              <w:rPr>
                <w:sz w:val="20"/>
                <w:szCs w:val="20"/>
              </w:rPr>
            </w:pPr>
          </w:p>
        </w:tc>
        <w:tc>
          <w:tcPr>
            <w:tcW w:w="7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3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79"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647"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divId w:val="963269429"/>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As o</w:t>
            </w:r>
            <w:r>
              <w:rPr>
                <w:b/>
                <w:bCs/>
                <w:sz w:val="16"/>
                <w:szCs w:val="16"/>
              </w:rPr>
              <w:t>f</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963269429"/>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Septembe</w:t>
            </w:r>
            <w:r>
              <w:rPr>
                <w:b/>
                <w:bCs/>
                <w:sz w:val="16"/>
                <w:szCs w:val="16"/>
              </w:rPr>
              <w:t>r</w:t>
            </w:r>
            <w:r>
              <w:rPr>
                <w:rFonts w:ascii="Calibri" w:hAnsi="Calibri" w:cs="Calibri"/>
                <w:b/>
                <w:bCs/>
                <w:sz w:val="16"/>
                <w:szCs w:val="16"/>
              </w:rPr>
              <w:t> 2</w:t>
            </w:r>
            <w:r>
              <w:rPr>
                <w:rFonts w:ascii="Calibri" w:hAnsi="Calibri" w:cs="Calibri"/>
                <w:b/>
                <w:bCs/>
                <w:sz w:val="16"/>
                <w:szCs w:val="16"/>
              </w:rPr>
              <w:t>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963269429"/>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divId w:val="963269429"/>
          <w:trHeight w:val="200"/>
          <w:tblCellSpacing w:w="15" w:type="dxa"/>
        </w:trPr>
        <w:tc>
          <w:tcPr>
            <w:tcW w:w="0" w:type="auto"/>
            <w:hideMark/>
          </w:tcPr>
          <w:p w:rsidR="00000000" w:rsidRDefault="00A749A6">
            <w:pPr>
              <w:pStyle w:val="a3"/>
              <w:spacing w:before="0" w:beforeAutospacing="0" w:after="0" w:afterAutospacing="0"/>
              <w:rPr>
                <w:sz w:val="20"/>
                <w:szCs w:val="20"/>
              </w:rPr>
            </w:pPr>
            <w:r>
              <w:rPr>
                <w:b/>
                <w:bCs/>
                <w:sz w:val="20"/>
                <w:szCs w:val="20"/>
              </w:rPr>
              <w:t>Assets</w:t>
            </w:r>
            <w:r>
              <w:rPr>
                <w:b/>
                <w:bCs/>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divId w:val="963269429"/>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Propan</w:t>
            </w:r>
            <w:r>
              <w:rPr>
                <w:sz w:val="20"/>
                <w:szCs w:val="20"/>
              </w:rPr>
              <w:t>e</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1,960,62</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1,935,39</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963269429"/>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52,22</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47,03</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963269429"/>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Natural gas and electricit</w:t>
            </w:r>
            <w:r>
              <w:rPr>
                <w:sz w:val="20"/>
                <w:szCs w:val="20"/>
              </w:rPr>
              <w:t>y</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11,04</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11,27</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963269429"/>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All othe</w:t>
            </w:r>
            <w:r>
              <w:rPr>
                <w:sz w:val="20"/>
                <w:szCs w:val="20"/>
              </w:rPr>
              <w:t>r</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47,81</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17,76</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963269429"/>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Corporat</w:t>
            </w:r>
            <w:r>
              <w:rPr>
                <w:sz w:val="20"/>
                <w:szCs w:val="20"/>
              </w:rPr>
              <w:t>e</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43,68</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40,25</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divId w:val="963269429"/>
          <w:trHeight w:val="200"/>
          <w:tblCellSpacing w:w="15" w:type="dxa"/>
        </w:trPr>
        <w:tc>
          <w:tcPr>
            <w:tcW w:w="0" w:type="auto"/>
            <w:hideMark/>
          </w:tcPr>
          <w:p w:rsidR="00000000" w:rsidRDefault="00A749A6">
            <w:pPr>
              <w:pStyle w:val="a3"/>
              <w:spacing w:before="0" w:beforeAutospacing="0" w:after="0" w:afterAutospacing="0"/>
              <w:ind w:left="400"/>
              <w:rPr>
                <w:sz w:val="20"/>
                <w:szCs w:val="20"/>
              </w:rPr>
            </w:pPr>
            <w:r>
              <w:rPr>
                <w:sz w:val="20"/>
                <w:szCs w:val="20"/>
              </w:rPr>
              <w:t>Total asset</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2,115,39</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2,051,73</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bl>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160" w:beforeAutospacing="0" w:after="0" w:afterAutospacing="0"/>
        <w:ind w:hanging="581"/>
        <w:jc w:val="both"/>
        <w:divId w:val="1071850192"/>
        <w:rPr>
          <w:sz w:val="20"/>
          <w:szCs w:val="20"/>
        </w:rPr>
      </w:pPr>
      <w:r>
        <w:rPr>
          <w:b/>
          <w:bCs/>
          <w:sz w:val="20"/>
          <w:szCs w:val="20"/>
        </w:rPr>
        <w:t>19. Subsequent Even</w:t>
      </w:r>
      <w:r>
        <w:rPr>
          <w:b/>
          <w:bCs/>
          <w:sz w:val="20"/>
          <w:szCs w:val="20"/>
        </w:rPr>
        <w:t>t</w:t>
      </w:r>
    </w:p>
    <w:p w:rsidR="00000000" w:rsidRDefault="00A749A6">
      <w:pPr>
        <w:pStyle w:val="a3"/>
        <w:spacing w:before="120" w:beforeAutospacing="0" w:after="0" w:afterAutospacing="0"/>
        <w:jc w:val="both"/>
        <w:divId w:val="1071850192"/>
        <w:rPr>
          <w:sz w:val="20"/>
          <w:szCs w:val="20"/>
        </w:rPr>
      </w:pPr>
      <w:r>
        <w:rPr>
          <w:sz w:val="20"/>
          <w:szCs w:val="20"/>
        </w:rPr>
        <w:t xml:space="preserve">On July 13, 2022, the Operating Partnership acquired the propane assets and operations of a propane retailer headquartered in New Mexico for </w:t>
      </w:r>
      <w:r>
        <w:rPr>
          <w:sz w:val="20"/>
          <w:szCs w:val="20"/>
        </w:rPr>
        <w:t>$</w:t>
      </w:r>
      <w:r>
        <w:rPr>
          <w:sz w:val="20"/>
          <w:szCs w:val="20"/>
        </w:rPr>
        <w:t>19,42</w:t>
      </w:r>
      <w:r>
        <w:rPr>
          <w:sz w:val="20"/>
          <w:szCs w:val="20"/>
        </w:rPr>
        <w:t>0</w:t>
      </w:r>
      <w:r>
        <w:rPr>
          <w:sz w:val="20"/>
          <w:szCs w:val="20"/>
        </w:rPr>
        <w:t xml:space="preserve">, including </w:t>
      </w:r>
      <w:r>
        <w:rPr>
          <w:sz w:val="20"/>
          <w:szCs w:val="20"/>
        </w:rPr>
        <w:t>$</w:t>
      </w:r>
      <w:r>
        <w:rPr>
          <w:sz w:val="20"/>
          <w:szCs w:val="20"/>
        </w:rPr>
        <w:t>1,00</w:t>
      </w:r>
      <w:r>
        <w:rPr>
          <w:sz w:val="20"/>
          <w:szCs w:val="20"/>
        </w:rPr>
        <w:t>0</w:t>
      </w:r>
      <w:r>
        <w:rPr>
          <w:sz w:val="20"/>
          <w:szCs w:val="20"/>
        </w:rPr>
        <w:t xml:space="preserve"> for non-compete consideration, plus working capital acquired. The acquisition was consumm</w:t>
      </w:r>
      <w:r>
        <w:rPr>
          <w:sz w:val="20"/>
          <w:szCs w:val="20"/>
        </w:rPr>
        <w:t>ated pursuant to the Partnership’s strategic growth initiatives</w:t>
      </w:r>
      <w:r>
        <w:rPr>
          <w:sz w:val="20"/>
          <w:szCs w:val="20"/>
        </w:rPr>
        <w:t>.</w:t>
      </w:r>
    </w:p>
    <w:p w:rsidR="00000000" w:rsidRDefault="00A749A6">
      <w:pPr>
        <w:pStyle w:val="a3"/>
        <w:spacing w:before="0" w:beforeAutospacing="0" w:after="0" w:afterAutospacing="0"/>
        <w:jc w:val="center"/>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2</w:t>
      </w:r>
      <w:r>
        <w:rPr>
          <w:sz w:val="20"/>
          <w:szCs w:val="20"/>
        </w:rPr>
        <w:t>3</w:t>
      </w:r>
    </w:p>
    <w:p w:rsidR="00000000" w:rsidRDefault="00A749A6">
      <w:pPr>
        <w:rPr>
          <w:rFonts w:eastAsia="Times New Roman"/>
        </w:rPr>
      </w:pPr>
      <w:r>
        <w:rPr>
          <w:rFonts w:eastAsia="Times New Roman"/>
        </w:rPr>
        <w:pict>
          <v:rect id="_x0000_i1051" style="width:0;height:1.5pt" o:hralign="center" o:hrstd="t" o:hr="t" fillcolor="#a0a0a0" stroked="f"/>
        </w:pict>
      </w:r>
    </w:p>
    <w:p w:rsidR="00000000" w:rsidRDefault="00A749A6">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0" w:beforeAutospacing="0" w:after="0" w:afterAutospacing="0"/>
        <w:jc w:val="both"/>
        <w:rPr>
          <w:sz w:val="20"/>
          <w:szCs w:val="20"/>
        </w:rPr>
      </w:pPr>
      <w:r>
        <w:rPr>
          <w:b/>
          <w:bCs/>
          <w:sz w:val="20"/>
          <w:szCs w:val="20"/>
        </w:rPr>
        <w:t>ITEM 2. MANAGEMENT’S</w:t>
      </w:r>
      <w:r>
        <w:rPr>
          <w:b/>
          <w:bCs/>
          <w:sz w:val="20"/>
          <w:szCs w:val="20"/>
        </w:rPr>
        <w:t xml:space="preserve"> </w:t>
      </w:r>
      <w:r>
        <w:rPr>
          <w:b/>
          <w:bCs/>
          <w:sz w:val="20"/>
          <w:szCs w:val="20"/>
        </w:rPr>
        <w:t>DISCUSSION AND ANALYSIS OF FINANCIAL CONDITION AND RESULTS OF OPERATION</w:t>
      </w:r>
      <w:r>
        <w:rPr>
          <w:b/>
          <w:bCs/>
          <w:sz w:val="20"/>
          <w:szCs w:val="20"/>
        </w:rPr>
        <w:t>S</w:t>
      </w:r>
    </w:p>
    <w:p w:rsidR="00000000" w:rsidRDefault="00A749A6">
      <w:pPr>
        <w:pStyle w:val="a3"/>
        <w:spacing w:before="120" w:beforeAutospacing="0" w:after="0" w:afterAutospacing="0"/>
        <w:ind w:firstLine="555"/>
        <w:jc w:val="both"/>
        <w:rPr>
          <w:sz w:val="20"/>
          <w:szCs w:val="20"/>
        </w:rPr>
      </w:pPr>
      <w:r>
        <w:rPr>
          <w:sz w:val="20"/>
          <w:szCs w:val="20"/>
        </w:rPr>
        <w:t>The following is a discussion of the financial condition and results of operations of the Partnership as of and for the three and nine months ended June 25, 2022, as seen from our per</w:t>
      </w:r>
      <w:r>
        <w:rPr>
          <w:sz w:val="20"/>
          <w:szCs w:val="20"/>
        </w:rPr>
        <w:t>spective. The discussion should be read in conjunction with Management’s Discussion and Analysis of Financial Condition and Results of Operations and the historical consolidated financial statements and notes thereto included in the Annual Report on Form 1</w:t>
      </w:r>
      <w:r>
        <w:rPr>
          <w:sz w:val="20"/>
          <w:szCs w:val="20"/>
        </w:rPr>
        <w:t>0-K for the fiscal year ended September 25, 2021</w:t>
      </w:r>
      <w:r>
        <w:rPr>
          <w:sz w:val="20"/>
          <w:szCs w:val="20"/>
        </w:rPr>
        <w:t>.</w:t>
      </w:r>
    </w:p>
    <w:p w:rsidR="00000000" w:rsidRDefault="00A749A6">
      <w:pPr>
        <w:pStyle w:val="a3"/>
        <w:spacing w:before="360" w:beforeAutospacing="0" w:after="0" w:afterAutospacing="0"/>
        <w:jc w:val="both"/>
        <w:rPr>
          <w:sz w:val="20"/>
          <w:szCs w:val="20"/>
        </w:rPr>
      </w:pPr>
      <w:r>
        <w:rPr>
          <w:b/>
          <w:bCs/>
          <w:sz w:val="20"/>
          <w:szCs w:val="20"/>
        </w:rPr>
        <w:t>Executive Overvie</w:t>
      </w:r>
      <w:r>
        <w:rPr>
          <w:b/>
          <w:bCs/>
          <w:sz w:val="20"/>
          <w:szCs w:val="20"/>
        </w:rPr>
        <w:t>w</w:t>
      </w:r>
    </w:p>
    <w:p w:rsidR="00000000" w:rsidRDefault="00A749A6">
      <w:pPr>
        <w:pStyle w:val="a3"/>
        <w:spacing w:before="120" w:beforeAutospacing="0" w:after="0" w:afterAutospacing="0"/>
        <w:ind w:firstLine="555"/>
        <w:jc w:val="both"/>
        <w:rPr>
          <w:sz w:val="20"/>
          <w:szCs w:val="20"/>
        </w:rPr>
      </w:pPr>
      <w:r>
        <w:rPr>
          <w:sz w:val="20"/>
          <w:szCs w:val="20"/>
        </w:rPr>
        <w:t>The following are factors that regularly affect our operating results and financial condition. Our business is also subject to the risks and uncertainties described in Item 1A included in</w:t>
      </w:r>
      <w:r>
        <w:rPr>
          <w:sz w:val="20"/>
          <w:szCs w:val="20"/>
        </w:rPr>
        <w:t xml:space="preserve"> the Annual Report on Form 10-K for the fiscal year ended September 25, 2021 and in this Quarterly Report. Management currently considers the following events, trends, and uncertainties to be most important to understanding our financial condition and oper</w:t>
      </w:r>
      <w:r>
        <w:rPr>
          <w:sz w:val="20"/>
          <w:szCs w:val="20"/>
        </w:rPr>
        <w:t>ating performance</w:t>
      </w:r>
      <w:r>
        <w:rPr>
          <w:sz w:val="20"/>
          <w:szCs w:val="20"/>
        </w:rPr>
        <w:t>:</w:t>
      </w:r>
      <w:r>
        <w:rPr>
          <w:sz w:val="20"/>
          <w:szCs w:val="20"/>
        </w:rPr>
        <w:t xml:space="preserve"> </w:t>
      </w:r>
    </w:p>
    <w:p w:rsidR="00000000" w:rsidRDefault="00A749A6">
      <w:pPr>
        <w:pStyle w:val="a3"/>
        <w:spacing w:before="360" w:beforeAutospacing="0" w:after="0" w:afterAutospacing="0"/>
        <w:jc w:val="both"/>
        <w:rPr>
          <w:sz w:val="20"/>
          <w:szCs w:val="20"/>
        </w:rPr>
      </w:pPr>
      <w:r>
        <w:rPr>
          <w:b/>
          <w:bCs/>
          <w:i/>
          <w:iCs/>
          <w:sz w:val="20"/>
          <w:szCs w:val="20"/>
        </w:rPr>
        <w:t>Product Costs and Suppl</w:t>
      </w:r>
      <w:r>
        <w:rPr>
          <w:b/>
          <w:bCs/>
          <w:i/>
          <w:iCs/>
          <w:sz w:val="20"/>
          <w:szCs w:val="20"/>
        </w:rPr>
        <w:t>y</w:t>
      </w:r>
    </w:p>
    <w:p w:rsidR="00000000" w:rsidRDefault="00A749A6">
      <w:pPr>
        <w:pStyle w:val="a3"/>
        <w:spacing w:before="120" w:beforeAutospacing="0" w:after="0" w:afterAutospacing="0"/>
        <w:ind w:firstLine="555"/>
        <w:jc w:val="both"/>
        <w:rPr>
          <w:sz w:val="20"/>
          <w:szCs w:val="20"/>
        </w:rPr>
      </w:pPr>
      <w:r>
        <w:rPr>
          <w:sz w:val="20"/>
          <w:szCs w:val="20"/>
        </w:rPr>
        <w:t>The level of profitability in the retail propane, fuel oil, natural gas and electricity businesses is largely dependent on the difference between retail sales price and our costs to acquire and transport product</w:t>
      </w:r>
      <w:r>
        <w:rPr>
          <w:sz w:val="20"/>
          <w:szCs w:val="20"/>
        </w:rPr>
        <w:t>s. The unit cost of our products, particularly propane, fuel oil and natural gas, is subject to volatility as a result of supply and demand dynamics or other market conditions, including, but not limited to, economic and political factors impacting crude o</w:t>
      </w:r>
      <w:r>
        <w:rPr>
          <w:sz w:val="20"/>
          <w:szCs w:val="20"/>
        </w:rPr>
        <w:t xml:space="preserve">il and natural gas supply or pricing. We enter into product supply contracts that are generally one-year agreements subject to annual renewal, and also purchase product on the open market. We attempt to reduce price risk by pricing product on a short-term </w:t>
      </w:r>
      <w:r>
        <w:rPr>
          <w:sz w:val="20"/>
          <w:szCs w:val="20"/>
        </w:rPr>
        <w:t>basis. Our propane supply contracts typically provide for pricing based upon index formulas using the posted prices established at major supply points such as Mont Belvieu, Texas, or Conway, Kansas (plus transportation costs) at the time of delivery</w:t>
      </w:r>
      <w:r>
        <w:rPr>
          <w:sz w:val="20"/>
          <w:szCs w:val="20"/>
        </w:rPr>
        <w:t>.</w:t>
      </w:r>
    </w:p>
    <w:p w:rsidR="00000000" w:rsidRDefault="00A749A6">
      <w:pPr>
        <w:pStyle w:val="a3"/>
        <w:spacing w:before="240" w:beforeAutospacing="0" w:after="0" w:afterAutospacing="0"/>
        <w:ind w:firstLine="555"/>
        <w:jc w:val="both"/>
        <w:rPr>
          <w:sz w:val="20"/>
          <w:szCs w:val="20"/>
        </w:rPr>
      </w:pPr>
      <w:r>
        <w:rPr>
          <w:sz w:val="20"/>
          <w:szCs w:val="20"/>
        </w:rPr>
        <w:t>To su</w:t>
      </w:r>
      <w:r>
        <w:rPr>
          <w:sz w:val="20"/>
          <w:szCs w:val="20"/>
        </w:rPr>
        <w:t>pplement our annual purchase requirements, we may utilize forward fixed price purchase contracts to acquire a portion of the propane that we resell to our customers, which allows us to manage our exposure to unfavorable changes in commodity prices and to a</w:t>
      </w:r>
      <w:r>
        <w:rPr>
          <w:sz w:val="20"/>
          <w:szCs w:val="20"/>
        </w:rPr>
        <w:t>ssure adequate physical supply. The percentage of contract purchases, and the amount of supply contracted for under forward contracts at fixed prices, will vary from year to year based on market conditions</w:t>
      </w:r>
      <w:r>
        <w:rPr>
          <w:sz w:val="20"/>
          <w:szCs w:val="20"/>
        </w:rPr>
        <w:t>.</w:t>
      </w:r>
    </w:p>
    <w:p w:rsidR="00000000" w:rsidRDefault="00A749A6">
      <w:pPr>
        <w:pStyle w:val="a3"/>
        <w:spacing w:before="240" w:beforeAutospacing="0" w:after="0" w:afterAutospacing="0"/>
        <w:ind w:firstLine="555"/>
        <w:jc w:val="both"/>
        <w:rPr>
          <w:sz w:val="20"/>
          <w:szCs w:val="20"/>
        </w:rPr>
      </w:pPr>
      <w:r>
        <w:rPr>
          <w:sz w:val="20"/>
          <w:szCs w:val="20"/>
        </w:rPr>
        <w:t>Changes in our costs to acquire and transport pro</w:t>
      </w:r>
      <w:r>
        <w:rPr>
          <w:sz w:val="20"/>
          <w:szCs w:val="20"/>
        </w:rPr>
        <w:t>ducts can occur rapidly over a short period of time and can impact profitability. There is no assurance that we will be able to pass on product acquisition and transportation cost increases fully or immediately, particularly when such costs increase rapidl</w:t>
      </w:r>
      <w:r>
        <w:rPr>
          <w:sz w:val="20"/>
          <w:szCs w:val="20"/>
        </w:rPr>
        <w:t>y. Therefore, average retail sales prices can vary significantly from year to year as our costs fluctuate with the propane, fuel oil, crude oil and natural gas commodity markets and infrastructure conditions. In addition, periods of sustained higher commod</w:t>
      </w:r>
      <w:r>
        <w:rPr>
          <w:sz w:val="20"/>
          <w:szCs w:val="20"/>
        </w:rPr>
        <w:t>ity and/or transportation prices can lead to customer conservation, resulting in reduced demand for our product</w:t>
      </w:r>
      <w:r>
        <w:rPr>
          <w:sz w:val="20"/>
          <w:szCs w:val="20"/>
        </w:rPr>
        <w:t>.</w:t>
      </w:r>
    </w:p>
    <w:p w:rsidR="00000000" w:rsidRDefault="00A749A6">
      <w:pPr>
        <w:pStyle w:val="a3"/>
        <w:spacing w:before="240" w:beforeAutospacing="0" w:after="0" w:afterAutospacing="0"/>
        <w:ind w:firstLine="555"/>
        <w:jc w:val="both"/>
        <w:rPr>
          <w:sz w:val="20"/>
          <w:szCs w:val="20"/>
        </w:rPr>
      </w:pPr>
      <w:r>
        <w:rPr>
          <w:sz w:val="20"/>
          <w:szCs w:val="20"/>
        </w:rPr>
        <w:t>During the third quarter of fiscal 2022, the wholesale cost of propane receded nominally from the elevated levels of the prior sequential quart</w:t>
      </w:r>
      <w:r>
        <w:rPr>
          <w:sz w:val="20"/>
          <w:szCs w:val="20"/>
        </w:rPr>
        <w:t>er, but were still significantly higher than the prior year, primarily due to lower propane inventory levels for this time of year, coupled with the macroeconomic and geopolitical factors, such as Russia’s invasion of Ukraine, impacting commodity prices gl</w:t>
      </w:r>
      <w:r>
        <w:rPr>
          <w:sz w:val="20"/>
          <w:szCs w:val="20"/>
        </w:rPr>
        <w:t>obally and in the United States. According to the Energy Information Administration, U.S. propane inventory levels at the end of June 2022 were 54.0 million barrels, which was 6.1% lower than June 2021 levels and 14% lower than the 5-year average for June.</w:t>
      </w:r>
      <w:r>
        <w:rPr>
          <w:sz w:val="20"/>
          <w:szCs w:val="20"/>
        </w:rPr>
        <w:t xml:space="preserve"> Average posted propane prices (basis Mont Belvieu, Texas) were 43.8% higher than the prior year third quarter, albeit 4.1% lower than the prior sequential quarter. Consistent with our established practice, we adjusted customer pricing as market conditions</w:t>
      </w:r>
      <w:r>
        <w:rPr>
          <w:sz w:val="20"/>
          <w:szCs w:val="20"/>
        </w:rPr>
        <w:t xml:space="preserve"> allowed</w:t>
      </w:r>
      <w:r>
        <w:rPr>
          <w:sz w:val="20"/>
          <w:szCs w:val="20"/>
        </w:rPr>
        <w:t>.</w:t>
      </w:r>
    </w:p>
    <w:p w:rsidR="00000000" w:rsidRDefault="00A749A6">
      <w:pPr>
        <w:pStyle w:val="a3"/>
        <w:spacing w:before="360" w:beforeAutospacing="0" w:after="0" w:afterAutospacing="0"/>
        <w:jc w:val="both"/>
        <w:rPr>
          <w:sz w:val="20"/>
          <w:szCs w:val="20"/>
        </w:rPr>
      </w:pPr>
      <w:r>
        <w:rPr>
          <w:b/>
          <w:bCs/>
          <w:i/>
          <w:iCs/>
          <w:sz w:val="20"/>
          <w:szCs w:val="20"/>
        </w:rPr>
        <w:t>Seasonalit</w:t>
      </w:r>
      <w:r>
        <w:rPr>
          <w:b/>
          <w:bCs/>
          <w:i/>
          <w:iCs/>
          <w:sz w:val="20"/>
          <w:szCs w:val="20"/>
        </w:rPr>
        <w:t>y</w:t>
      </w:r>
    </w:p>
    <w:p w:rsidR="00000000" w:rsidRDefault="00A749A6">
      <w:pPr>
        <w:pStyle w:val="a3"/>
        <w:spacing w:before="120" w:beforeAutospacing="0" w:after="0" w:afterAutospacing="0"/>
        <w:ind w:firstLine="555"/>
        <w:jc w:val="both"/>
        <w:rPr>
          <w:sz w:val="20"/>
          <w:szCs w:val="20"/>
        </w:rPr>
      </w:pPr>
      <w:r>
        <w:rPr>
          <w:sz w:val="20"/>
          <w:szCs w:val="20"/>
        </w:rPr>
        <w:t>The retail propane and fuel oil distribution businesses, as well as the natural gas marketing business, are seasonal because these fuels are primarily used for heating in residential and commercial buildings. Historically, approximate</w:t>
      </w:r>
      <w:r>
        <w:rPr>
          <w:sz w:val="20"/>
          <w:szCs w:val="20"/>
        </w:rPr>
        <w:t>ly two</w:t>
      </w:r>
      <w:r>
        <w:rPr>
          <w:sz w:val="20"/>
          <w:szCs w:val="20"/>
        </w:rPr>
        <w:noBreakHyphen/>
        <w:t>thirds of our retail propane volume is sold during the six-month peak heating season from October through March. The fuel oil business tends to experience greater seasonality given its more limited use for space heating and approximately three-fourt</w:t>
      </w:r>
      <w:r>
        <w:rPr>
          <w:sz w:val="20"/>
          <w:szCs w:val="20"/>
        </w:rPr>
        <w:t>hs of our fuel oil volumes are sold between October and March. Consequently, sales and operating profits are concentrated in our first and second fiscal quarters. Cash flows from operations, therefore, are greatest during the second and third fiscal quarte</w:t>
      </w:r>
      <w:r>
        <w:rPr>
          <w:sz w:val="20"/>
          <w:szCs w:val="20"/>
        </w:rPr>
        <w:t>rs when customers pay for product purchased during the winter heating season. We expect lower operating profits and either net losses or lower net income during the period from April through September (our third and fourth fiscal quarters). To the extent n</w:t>
      </w:r>
      <w:r>
        <w:rPr>
          <w:sz w:val="20"/>
          <w:szCs w:val="20"/>
        </w:rPr>
        <w:t>ecessary, we will reserve cash from the second and first quarters for distribution to holders of our Common Units in the fourth quarter and the following fiscal year first quarter</w:t>
      </w:r>
      <w:r>
        <w:rPr>
          <w:sz w:val="20"/>
          <w:szCs w:val="20"/>
        </w:rPr>
        <w:t>.</w:t>
      </w:r>
    </w:p>
    <w:p w:rsidR="00000000" w:rsidRDefault="00A749A6">
      <w:pPr>
        <w:pStyle w:val="a3"/>
        <w:spacing w:before="0" w:beforeAutospacing="0" w:after="0" w:afterAutospacing="0"/>
        <w:jc w:val="center"/>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2</w:t>
      </w:r>
      <w:r>
        <w:rPr>
          <w:sz w:val="20"/>
          <w:szCs w:val="20"/>
        </w:rPr>
        <w:t>4</w:t>
      </w:r>
    </w:p>
    <w:p w:rsidR="00000000" w:rsidRDefault="00A749A6">
      <w:pPr>
        <w:rPr>
          <w:rFonts w:eastAsia="Times New Roman"/>
        </w:rPr>
      </w:pPr>
      <w:r>
        <w:rPr>
          <w:rFonts w:eastAsia="Times New Roman"/>
        </w:rPr>
        <w:pict>
          <v:rect id="_x0000_i1052" style="width:0;height:1.5pt" o:hralign="center" o:hrstd="t" o:hr="t" fillcolor="#a0a0a0" stroked="f"/>
        </w:pict>
      </w:r>
    </w:p>
    <w:p w:rsidR="00000000" w:rsidRDefault="00A749A6">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0" w:beforeAutospacing="0" w:after="0" w:afterAutospacing="0"/>
        <w:jc w:val="both"/>
        <w:rPr>
          <w:sz w:val="20"/>
          <w:szCs w:val="20"/>
        </w:rPr>
      </w:pPr>
      <w:r>
        <w:rPr>
          <w:b/>
          <w:bCs/>
          <w:i/>
          <w:iCs/>
          <w:sz w:val="20"/>
          <w:szCs w:val="20"/>
        </w:rPr>
        <w:t>Weathe</w:t>
      </w:r>
      <w:r>
        <w:rPr>
          <w:b/>
          <w:bCs/>
          <w:i/>
          <w:iCs/>
          <w:sz w:val="20"/>
          <w:szCs w:val="20"/>
        </w:rPr>
        <w:t>r</w:t>
      </w:r>
    </w:p>
    <w:p w:rsidR="00000000" w:rsidRDefault="00A749A6">
      <w:pPr>
        <w:pStyle w:val="a3"/>
        <w:spacing w:before="120" w:beforeAutospacing="0" w:after="0" w:afterAutospacing="0"/>
        <w:ind w:firstLine="555"/>
        <w:jc w:val="both"/>
        <w:rPr>
          <w:sz w:val="20"/>
          <w:szCs w:val="20"/>
        </w:rPr>
      </w:pPr>
      <w:r>
        <w:rPr>
          <w:sz w:val="20"/>
          <w:szCs w:val="20"/>
        </w:rPr>
        <w:t>Weather conditions have a significant impact on the demand for our products, in particular propane, fuel oil and natural gas, for both heating and agricultural purposes. Many of our customers rely heavi</w:t>
      </w:r>
      <w:r>
        <w:rPr>
          <w:sz w:val="20"/>
          <w:szCs w:val="20"/>
        </w:rPr>
        <w:t>ly on propane, fuel oil or natural gas as a heating source. Accordingly, the volume sold is directly affected by the severity of the winter weather in our service areas, which can vary substantially from year to year. In any given area, sustained warmer th</w:t>
      </w:r>
      <w:r>
        <w:rPr>
          <w:sz w:val="20"/>
          <w:szCs w:val="20"/>
        </w:rPr>
        <w:t>an normal temperatures will tend to result in reduced propane, fuel oil and natural gas consumption, while sustained colder than normal temperatures will tend to result in greater consumption</w:t>
      </w:r>
      <w:r>
        <w:rPr>
          <w:sz w:val="20"/>
          <w:szCs w:val="20"/>
        </w:rPr>
        <w:t>.</w:t>
      </w:r>
    </w:p>
    <w:p w:rsidR="00000000" w:rsidRDefault="00A749A6">
      <w:pPr>
        <w:pStyle w:val="a3"/>
        <w:spacing w:before="360" w:beforeAutospacing="0" w:after="0" w:afterAutospacing="0"/>
        <w:jc w:val="both"/>
        <w:rPr>
          <w:sz w:val="20"/>
          <w:szCs w:val="20"/>
        </w:rPr>
      </w:pPr>
      <w:r>
        <w:rPr>
          <w:b/>
          <w:bCs/>
          <w:i/>
          <w:iCs/>
          <w:sz w:val="20"/>
          <w:szCs w:val="20"/>
        </w:rPr>
        <w:t>Hedging and Risk Management Activitie</w:t>
      </w:r>
      <w:r>
        <w:rPr>
          <w:b/>
          <w:bCs/>
          <w:i/>
          <w:iCs/>
          <w:sz w:val="20"/>
          <w:szCs w:val="20"/>
        </w:rPr>
        <w:t>s</w:t>
      </w:r>
    </w:p>
    <w:p w:rsidR="00000000" w:rsidRDefault="00A749A6">
      <w:pPr>
        <w:pStyle w:val="a3"/>
        <w:spacing w:before="120" w:beforeAutospacing="0" w:after="0" w:afterAutospacing="0"/>
        <w:ind w:firstLine="555"/>
        <w:jc w:val="both"/>
        <w:rPr>
          <w:sz w:val="20"/>
          <w:szCs w:val="20"/>
        </w:rPr>
      </w:pPr>
      <w:r>
        <w:rPr>
          <w:sz w:val="20"/>
          <w:szCs w:val="20"/>
        </w:rPr>
        <w:t>We engage in hedging and</w:t>
      </w:r>
      <w:r>
        <w:rPr>
          <w:sz w:val="20"/>
          <w:szCs w:val="20"/>
        </w:rPr>
        <w:t xml:space="preserve"> risk management activities to reduce the effect of price volatility on our product costs and to ensure the availability of product during periods of short supply. We enter into propane forward, options and swap agreements with third parties, and use futur</w:t>
      </w:r>
      <w:r>
        <w:rPr>
          <w:sz w:val="20"/>
          <w:szCs w:val="20"/>
        </w:rPr>
        <w:t>es and options contracts traded on the New York Mercantile Exchange (“NYMEX”) to purchase and sell propane, fuel oil, crude oil and natural gas at fixed prices in the future. The majority of the futures, forward and options agreements are used to hedge pri</w:t>
      </w:r>
      <w:r>
        <w:rPr>
          <w:sz w:val="20"/>
          <w:szCs w:val="20"/>
        </w:rPr>
        <w:t>ce risk associated with propane and fuel oil physical inventory, as well as, in certain instances, forecasted purchases of propane or fuel oil. In addition, we sell propane and fuel oil to customers at fixed prices, and enter into derivative instruments to</w:t>
      </w:r>
      <w:r>
        <w:rPr>
          <w:sz w:val="20"/>
          <w:szCs w:val="20"/>
        </w:rPr>
        <w:t xml:space="preserve"> hedge a portion of our exposure to fluctuations in commodity prices as a result of selling the fixed price contracts. Forward contracts are generally settled physically at the expiration of the contract whereas futures, options and swap contracts are gene</w:t>
      </w:r>
      <w:r>
        <w:rPr>
          <w:sz w:val="20"/>
          <w:szCs w:val="20"/>
        </w:rPr>
        <w:t>rally settled at the expiration of the contract through a net settlement mechanism. Although we use derivative instruments to reduce the effect of price volatility associated with priced physical inventory and forecasted transactions, we do not use derivat</w:t>
      </w:r>
      <w:r>
        <w:rPr>
          <w:sz w:val="20"/>
          <w:szCs w:val="20"/>
        </w:rPr>
        <w:t>ive instruments for speculative trading purposes. Risk management activities are monitored by an internal Commodity Risk Management Committee, made up of six members of management and reporting to our Audit Committee, through enforcement of our Hedging and</w:t>
      </w:r>
      <w:r>
        <w:rPr>
          <w:sz w:val="20"/>
          <w:szCs w:val="20"/>
        </w:rPr>
        <w:t xml:space="preserve"> Risk Management Policy</w:t>
      </w:r>
      <w:r>
        <w:rPr>
          <w:sz w:val="20"/>
          <w:szCs w:val="20"/>
        </w:rPr>
        <w:t>.</w:t>
      </w:r>
    </w:p>
    <w:p w:rsidR="00000000" w:rsidRDefault="00A749A6">
      <w:pPr>
        <w:pStyle w:val="a3"/>
        <w:spacing w:before="360" w:beforeAutospacing="0" w:after="0" w:afterAutospacing="0"/>
        <w:jc w:val="both"/>
        <w:rPr>
          <w:sz w:val="20"/>
          <w:szCs w:val="20"/>
        </w:rPr>
      </w:pPr>
      <w:r>
        <w:rPr>
          <w:b/>
          <w:bCs/>
          <w:i/>
          <w:iCs/>
          <w:sz w:val="20"/>
          <w:szCs w:val="20"/>
        </w:rPr>
        <w:t>Impact of COVID-19 Pandemic on Customer Demand Pattern</w:t>
      </w:r>
      <w:r>
        <w:rPr>
          <w:b/>
          <w:bCs/>
          <w:i/>
          <w:iCs/>
          <w:sz w:val="20"/>
          <w:szCs w:val="20"/>
        </w:rPr>
        <w:t>s</w:t>
      </w:r>
    </w:p>
    <w:p w:rsidR="00000000" w:rsidRDefault="00A749A6">
      <w:pPr>
        <w:pStyle w:val="a3"/>
        <w:spacing w:before="120" w:beforeAutospacing="0" w:after="0" w:afterAutospacing="0"/>
        <w:ind w:firstLine="555"/>
        <w:jc w:val="both"/>
        <w:rPr>
          <w:sz w:val="20"/>
          <w:szCs w:val="20"/>
        </w:rPr>
      </w:pPr>
      <w:r>
        <w:rPr>
          <w:sz w:val="20"/>
          <w:szCs w:val="20"/>
        </w:rPr>
        <w:t xml:space="preserve">The COVID-19 pandemic has resulted in commodity and stock market volatility, significant government stimulus and uncertainty about economic conditions. As a result, we experienced a period of lower revenues in certain customer sectors, particularly during </w:t>
      </w:r>
      <w:r>
        <w:rPr>
          <w:sz w:val="20"/>
          <w:szCs w:val="20"/>
        </w:rPr>
        <w:t>the period from March 2020 through December 2020, as well as an increase in usage in our residential and certain other customer segments that benefited from stay-at-home initiatives and the demand for temporary, portable energy solutions. As economic and b</w:t>
      </w:r>
      <w:r>
        <w:rPr>
          <w:sz w:val="20"/>
          <w:szCs w:val="20"/>
        </w:rPr>
        <w:t>usiness conditions continue to evolve, more people are returning to work and demand in these residential and certain other customer segments have moderated back to more historical levels. Nonetheless, as we navigate through fiscal 2022 and beyond, we conti</w:t>
      </w:r>
      <w:r>
        <w:rPr>
          <w:sz w:val="20"/>
          <w:szCs w:val="20"/>
        </w:rPr>
        <w:t>nue to refine alternative operational plans, inclusive of manpower levels, to address different customer demand scenarios, and to adapt our operational model to the potential for shifting demand patterns in the future as a result of the COVID-19 pandemic o</w:t>
      </w:r>
      <w:r>
        <w:rPr>
          <w:sz w:val="20"/>
          <w:szCs w:val="20"/>
        </w:rPr>
        <w:t>n future cash flows and access to adequate liquidity</w:t>
      </w:r>
      <w:r>
        <w:rPr>
          <w:sz w:val="20"/>
          <w:szCs w:val="20"/>
        </w:rPr>
        <w:t>.</w:t>
      </w:r>
    </w:p>
    <w:p w:rsidR="00000000" w:rsidRDefault="00A749A6">
      <w:pPr>
        <w:pStyle w:val="a3"/>
        <w:spacing w:before="360" w:beforeAutospacing="0" w:after="0" w:afterAutospacing="0"/>
        <w:jc w:val="both"/>
        <w:rPr>
          <w:sz w:val="20"/>
          <w:szCs w:val="20"/>
        </w:rPr>
      </w:pPr>
      <w:r>
        <w:rPr>
          <w:b/>
          <w:bCs/>
          <w:i/>
          <w:iCs/>
          <w:sz w:val="20"/>
          <w:szCs w:val="20"/>
        </w:rPr>
        <w:t>Inflation and Other Cost Increase</w:t>
      </w:r>
      <w:r>
        <w:rPr>
          <w:b/>
          <w:bCs/>
          <w:i/>
          <w:iCs/>
          <w:sz w:val="20"/>
          <w:szCs w:val="20"/>
        </w:rPr>
        <w:t>s</w:t>
      </w:r>
    </w:p>
    <w:p w:rsidR="00000000" w:rsidRDefault="00A749A6">
      <w:pPr>
        <w:pStyle w:val="a3"/>
        <w:spacing w:before="120" w:beforeAutospacing="0" w:after="0" w:afterAutospacing="0"/>
        <w:ind w:firstLine="555"/>
        <w:jc w:val="both"/>
        <w:rPr>
          <w:sz w:val="20"/>
          <w:szCs w:val="20"/>
        </w:rPr>
      </w:pPr>
      <w:r>
        <w:rPr>
          <w:sz w:val="20"/>
          <w:szCs w:val="20"/>
        </w:rPr>
        <w:t xml:space="preserve">In addition to the evolving impact of the COVID-19 pandemic, we have been impacted by other global and economic events. We are experiencing increased inflation in the </w:t>
      </w:r>
      <w:r>
        <w:rPr>
          <w:sz w:val="20"/>
          <w:szCs w:val="20"/>
        </w:rPr>
        <w:t>costs of various goods and services we use to operate our business, including higher wholesale costs for the products we distribute. Although we have not experienced significant disruptions with securing the products we sell, inflationary factors and compe</w:t>
      </w:r>
      <w:r>
        <w:rPr>
          <w:sz w:val="20"/>
          <w:szCs w:val="20"/>
        </w:rPr>
        <w:t>tition for resources across the supply chain has resulted in increased costs in a wide variety of areas, including labor, transportation costs and the cost of tanks and other equipment. These and other factors may continue to impact our product costs, expe</w:t>
      </w:r>
      <w:r>
        <w:rPr>
          <w:sz w:val="20"/>
          <w:szCs w:val="20"/>
        </w:rPr>
        <w:t>nses, and capital expenditures, and could continue to have an impact on consumer demand as consumers manage the impact of inflation on their resources</w:t>
      </w:r>
      <w:r>
        <w:rPr>
          <w:sz w:val="20"/>
          <w:szCs w:val="20"/>
        </w:rPr>
        <w:t>.</w:t>
      </w:r>
    </w:p>
    <w:p w:rsidR="00000000" w:rsidRDefault="00A749A6">
      <w:pPr>
        <w:pStyle w:val="a3"/>
        <w:spacing w:before="360" w:beforeAutospacing="0" w:after="0" w:afterAutospacing="0"/>
        <w:jc w:val="both"/>
        <w:rPr>
          <w:sz w:val="20"/>
          <w:szCs w:val="20"/>
        </w:rPr>
      </w:pPr>
      <w:r>
        <w:rPr>
          <w:b/>
          <w:bCs/>
          <w:i/>
          <w:iCs/>
          <w:sz w:val="20"/>
          <w:szCs w:val="20"/>
        </w:rPr>
        <w:t>Critical Accounting Policies and Estimate</w:t>
      </w:r>
      <w:r>
        <w:rPr>
          <w:b/>
          <w:bCs/>
          <w:i/>
          <w:iCs/>
          <w:sz w:val="20"/>
          <w:szCs w:val="20"/>
        </w:rPr>
        <w:t>s</w:t>
      </w:r>
    </w:p>
    <w:p w:rsidR="00000000" w:rsidRDefault="00A749A6">
      <w:pPr>
        <w:pStyle w:val="a3"/>
        <w:spacing w:before="120" w:beforeAutospacing="0" w:after="0" w:afterAutospacing="0"/>
        <w:ind w:firstLine="555"/>
        <w:jc w:val="both"/>
        <w:rPr>
          <w:sz w:val="20"/>
          <w:szCs w:val="20"/>
        </w:rPr>
      </w:pPr>
      <w:r>
        <w:rPr>
          <w:sz w:val="20"/>
          <w:szCs w:val="20"/>
        </w:rPr>
        <w:t>Our significant accounting policies are summarized in Note 2,</w:t>
      </w:r>
      <w:r>
        <w:rPr>
          <w:sz w:val="20"/>
          <w:szCs w:val="20"/>
        </w:rPr>
        <w:t xml:space="preserve"> “Summary of Significant Accounting Policies,” included within the Notes to Consolidated Financial Statements section of our Annual Report on Form 10-K for the fiscal year ended September 25, 2021</w:t>
      </w:r>
      <w:r>
        <w:rPr>
          <w:sz w:val="20"/>
          <w:szCs w:val="20"/>
        </w:rPr>
        <w:t>.</w:t>
      </w:r>
    </w:p>
    <w:p w:rsidR="00000000" w:rsidRDefault="00A749A6">
      <w:pPr>
        <w:pStyle w:val="a3"/>
        <w:spacing w:before="240" w:beforeAutospacing="0" w:after="0" w:afterAutospacing="0"/>
        <w:ind w:firstLine="555"/>
        <w:jc w:val="both"/>
        <w:rPr>
          <w:sz w:val="20"/>
          <w:szCs w:val="20"/>
        </w:rPr>
      </w:pPr>
      <w:r>
        <w:rPr>
          <w:sz w:val="20"/>
          <w:szCs w:val="20"/>
        </w:rPr>
        <w:t xml:space="preserve">Certain amounts included in or affecting our consolidated </w:t>
      </w:r>
      <w:r>
        <w:rPr>
          <w:sz w:val="20"/>
          <w:szCs w:val="20"/>
        </w:rPr>
        <w:t xml:space="preserve">financial statements and related disclosures must be estimated, requiring management to make certain assumptions with respect to values or conditions that cannot be known with certainty at the time the financial statements are prepared. The preparation of </w:t>
      </w:r>
      <w:r>
        <w:rPr>
          <w:sz w:val="20"/>
          <w:szCs w:val="20"/>
        </w:rPr>
        <w:t xml:space="preserve">financial statements in conformity with accounting principles generally accepted in the United States of America (“US GAAP”) requires management to make estimates and assumptions that affect the reported amounts of assets and liabilities and disclosure of </w:t>
      </w:r>
      <w:r>
        <w:rPr>
          <w:sz w:val="20"/>
          <w:szCs w:val="20"/>
        </w:rPr>
        <w:t>contingent assets and liabilities at the date of the financial statements and the reported amounts of revenues and expenses during the reporting period. We are also subject to risks and uncertainties that may cause actual results to differ from estimated r</w:t>
      </w:r>
      <w:r>
        <w:rPr>
          <w:sz w:val="20"/>
          <w:szCs w:val="20"/>
        </w:rPr>
        <w:t>esults. Estimates are used when accounting for depreciation and amortization of long-lived assets, employee benefit plans, self-insurance and litigation reserves, environmental reserves, allowances for doubtful accounts, asset valuation assessments and val</w:t>
      </w:r>
      <w:r>
        <w:rPr>
          <w:sz w:val="20"/>
          <w:szCs w:val="20"/>
        </w:rPr>
        <w:t>uation of derivative instruments. We base our estimates on historical experience and on various other assumption</w:t>
      </w:r>
      <w:r>
        <w:rPr>
          <w:sz w:val="20"/>
          <w:szCs w:val="20"/>
        </w:rPr>
        <w:t>s</w:t>
      </w:r>
      <w:r>
        <w:rPr>
          <w:sz w:val="20"/>
          <w:szCs w:val="20"/>
        </w:rPr>
        <w:t xml:space="preserve"> </w:t>
      </w:r>
    </w:p>
    <w:p w:rsidR="00000000" w:rsidRDefault="00A749A6">
      <w:pPr>
        <w:pStyle w:val="a3"/>
        <w:spacing w:before="0" w:beforeAutospacing="0" w:after="0" w:afterAutospacing="0"/>
        <w:jc w:val="center"/>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2</w:t>
      </w:r>
      <w:r>
        <w:rPr>
          <w:sz w:val="20"/>
          <w:szCs w:val="20"/>
        </w:rPr>
        <w:t>5</w:t>
      </w:r>
    </w:p>
    <w:p w:rsidR="00000000" w:rsidRDefault="00A749A6">
      <w:pPr>
        <w:rPr>
          <w:rFonts w:eastAsia="Times New Roman"/>
        </w:rPr>
      </w:pPr>
      <w:r>
        <w:rPr>
          <w:rFonts w:eastAsia="Times New Roman"/>
        </w:rPr>
        <w:pict>
          <v:rect id="_x0000_i1053" style="width:0;height:1.5pt" o:hralign="center" o:hrstd="t" o:hr="t" fillcolor="#a0a0a0" stroked="f"/>
        </w:pict>
      </w:r>
    </w:p>
    <w:p w:rsidR="00000000" w:rsidRDefault="00A749A6">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240" w:beforeAutospacing="0" w:after="0" w:afterAutospacing="0"/>
        <w:jc w:val="both"/>
        <w:rPr>
          <w:sz w:val="20"/>
          <w:szCs w:val="20"/>
        </w:rPr>
      </w:pPr>
      <w:r>
        <w:rPr>
          <w:sz w:val="20"/>
          <w:szCs w:val="20"/>
        </w:rPr>
        <w:t>that are believed to</w:t>
      </w:r>
      <w:r>
        <w:rPr>
          <w:sz w:val="20"/>
          <w:szCs w:val="20"/>
        </w:rPr>
        <w:t xml:space="preserve"> be reasonable under the circumstances, the results of which form the basis for making judgments about the carrying values of assets and liabilities that are not readily apparent from other sources. Any effects on our business, financial position or result</w:t>
      </w:r>
      <w:r>
        <w:rPr>
          <w:sz w:val="20"/>
          <w:szCs w:val="20"/>
        </w:rPr>
        <w:t xml:space="preserve">s of operations resulting from revisions to these estimates are recorded in the period in which the facts that give rise to the revision become known to us. Management has reviewed these critical accounting estimates and related disclosures with the Audit </w:t>
      </w:r>
      <w:r>
        <w:rPr>
          <w:sz w:val="20"/>
          <w:szCs w:val="20"/>
        </w:rPr>
        <w:t>Committee of our Board of Supervisors</w:t>
      </w:r>
      <w:r>
        <w:rPr>
          <w:sz w:val="20"/>
          <w:szCs w:val="20"/>
        </w:rPr>
        <w:t>.</w:t>
      </w:r>
      <w:r>
        <w:rPr>
          <w:sz w:val="20"/>
          <w:szCs w:val="20"/>
        </w:rPr>
        <w:t xml:space="preserve"> </w:t>
      </w:r>
    </w:p>
    <w:p w:rsidR="00000000" w:rsidRDefault="00A749A6">
      <w:pPr>
        <w:pStyle w:val="a3"/>
        <w:spacing w:before="360" w:beforeAutospacing="0" w:after="0" w:afterAutospacing="0"/>
        <w:jc w:val="both"/>
        <w:rPr>
          <w:sz w:val="20"/>
          <w:szCs w:val="20"/>
        </w:rPr>
      </w:pPr>
      <w:r>
        <w:rPr>
          <w:b/>
          <w:bCs/>
          <w:i/>
          <w:iCs/>
          <w:sz w:val="20"/>
          <w:szCs w:val="20"/>
        </w:rPr>
        <w:t>Results of Operations and Financial Conditio</w:t>
      </w:r>
      <w:r>
        <w:rPr>
          <w:b/>
          <w:bCs/>
          <w:i/>
          <w:iCs/>
          <w:sz w:val="20"/>
          <w:szCs w:val="20"/>
        </w:rPr>
        <w:t>n</w:t>
      </w:r>
      <w:r>
        <w:rPr>
          <w:b/>
          <w:bCs/>
          <w:i/>
          <w:iCs/>
          <w:sz w:val="20"/>
          <w:szCs w:val="20"/>
        </w:rPr>
        <w:t xml:space="preserve"> </w:t>
      </w:r>
    </w:p>
    <w:p w:rsidR="00000000" w:rsidRDefault="00A749A6">
      <w:pPr>
        <w:pStyle w:val="a3"/>
        <w:spacing w:before="240" w:beforeAutospacing="0" w:after="0" w:afterAutospacing="0"/>
        <w:ind w:firstLine="555"/>
        <w:jc w:val="both"/>
        <w:rPr>
          <w:sz w:val="20"/>
          <w:szCs w:val="20"/>
        </w:rPr>
      </w:pPr>
      <w:r>
        <w:rPr>
          <w:sz w:val="20"/>
          <w:szCs w:val="20"/>
        </w:rPr>
        <w:t>Consistent with the seasonal nature of our businesses, we typically experience a net loss in the third quarter of our fiscal year. Net loss for the third quarter of fisc</w:t>
      </w:r>
      <w:r>
        <w:rPr>
          <w:sz w:val="20"/>
          <w:szCs w:val="20"/>
        </w:rPr>
        <w:t>al 2022 improved to $2.5 million, or $0.04 per Common Unit, compared to a net loss of $26.0 million, or $0.41 per Common Unit, in the fiscal 2021 third quarter. Adjusted earnings before interest, taxes, depreciation and amortization (Adjusted EBITDA, as de</w:t>
      </w:r>
      <w:r>
        <w:rPr>
          <w:sz w:val="20"/>
          <w:szCs w:val="20"/>
        </w:rPr>
        <w:t>fined and reconciled below) increased $5.9 million, or 25.3%, to $29.2 million for the third quarter of fiscal 2022, compared to $23.3 million in the prior year third quarter</w:t>
      </w:r>
      <w:r>
        <w:rPr>
          <w:sz w:val="20"/>
          <w:szCs w:val="20"/>
        </w:rPr>
        <w:t>.</w:t>
      </w:r>
    </w:p>
    <w:p w:rsidR="00000000" w:rsidRDefault="00A749A6">
      <w:pPr>
        <w:pStyle w:val="a3"/>
        <w:spacing w:before="240" w:beforeAutospacing="0" w:after="0" w:afterAutospacing="0"/>
        <w:ind w:firstLine="555"/>
        <w:jc w:val="both"/>
        <w:rPr>
          <w:sz w:val="20"/>
          <w:szCs w:val="20"/>
        </w:rPr>
      </w:pPr>
      <w:r>
        <w:rPr>
          <w:sz w:val="20"/>
          <w:szCs w:val="20"/>
        </w:rPr>
        <w:t xml:space="preserve">Retail propane gallons sold in the third quarter of fiscal 2022 of 75.5 million </w:t>
      </w:r>
      <w:r>
        <w:rPr>
          <w:sz w:val="20"/>
          <w:szCs w:val="20"/>
        </w:rPr>
        <w:t>gallons decreased 1.6% compared to the prior year, primarily due to the adverse impact of historically high commodity prices on customer buying habits and demand, partially offset by cooler spring temperatures that contributed to higher heat-related demand</w:t>
      </w:r>
      <w:r>
        <w:rPr>
          <w:sz w:val="20"/>
          <w:szCs w:val="20"/>
        </w:rPr>
        <w:t xml:space="preserve"> in certain markets. In addition, volumes in the prior year third quarter benefitted from incremental outdoor heating and cooking demand associated with continued COVID-19 related government restrictions. Average temperatures (as measured by heating degree</w:t>
      </w:r>
      <w:r>
        <w:rPr>
          <w:sz w:val="20"/>
          <w:szCs w:val="20"/>
        </w:rPr>
        <w:t xml:space="preserve"> days) across all of our service territories during the third quarter were 4% warmer than normal and 5% colder than the prior year third quarter</w:t>
      </w:r>
      <w:r>
        <w:rPr>
          <w:sz w:val="20"/>
          <w:szCs w:val="20"/>
        </w:rPr>
        <w:t>.</w:t>
      </w:r>
    </w:p>
    <w:p w:rsidR="00000000" w:rsidRDefault="00A749A6">
      <w:pPr>
        <w:pStyle w:val="a3"/>
        <w:spacing w:before="240" w:beforeAutospacing="0" w:after="0" w:afterAutospacing="0"/>
        <w:ind w:firstLine="555"/>
        <w:jc w:val="both"/>
        <w:rPr>
          <w:sz w:val="20"/>
          <w:szCs w:val="20"/>
        </w:rPr>
      </w:pPr>
      <w:r>
        <w:rPr>
          <w:sz w:val="20"/>
          <w:szCs w:val="20"/>
        </w:rPr>
        <w:t>Average wholesale propane prices (basis Mont Belvieu, Texas) for the third quarter of fiscal 2022 increased 43</w:t>
      </w:r>
      <w:r>
        <w:rPr>
          <w:sz w:val="20"/>
          <w:szCs w:val="20"/>
        </w:rPr>
        <w:t xml:space="preserve">.8% compared to the prior year third quarter. Total gross margin for the third quarter of fiscal 2022 was $159.4 million, compared to $155.0 million in the prior year third quarter. Gross margin for the third quarter of fiscal 2022 included a $0.9 million </w:t>
      </w:r>
      <w:r>
        <w:rPr>
          <w:sz w:val="20"/>
          <w:szCs w:val="20"/>
        </w:rPr>
        <w:t>unrealized loss attributable to the mark-to-market adjustment for derivative instruments used in risk management activities, compared to an $11.1 million unrealized gain in the prior year third quarter. These non-cash adjustments, which were reported in co</w:t>
      </w:r>
      <w:r>
        <w:rPr>
          <w:sz w:val="20"/>
          <w:szCs w:val="20"/>
        </w:rPr>
        <w:t>st of products sold, were excluded from Adjusted EBITDA for both periods. Excluding the impact of these non-cash mark-to-market adjustments, total gross margin increased $16.4 million, or 11.4%, compared to the prior year third quarter, primarily due to pr</w:t>
      </w:r>
      <w:r>
        <w:rPr>
          <w:sz w:val="20"/>
          <w:szCs w:val="20"/>
        </w:rPr>
        <w:t>udent margin management during a volatile commodity price environment, as well as from the favorable impact of commodity hedges that matured during the period. Our hedging and risk management activities are intended to reduce the effect of price volatility</w:t>
      </w:r>
      <w:r>
        <w:rPr>
          <w:sz w:val="20"/>
          <w:szCs w:val="20"/>
        </w:rPr>
        <w:t xml:space="preserve"> associated with forecasted purchases of propane, and propane sold on a fixed price basis. The commodity hedges that matured during the third quarter of fiscal 2022 were principally comprised of net long positions that were favorably impacted from the sign</w:t>
      </w:r>
      <w:r>
        <w:rPr>
          <w:sz w:val="20"/>
          <w:szCs w:val="20"/>
        </w:rPr>
        <w:t>ificant rise in commodity prices</w:t>
      </w:r>
      <w:r>
        <w:rPr>
          <w:sz w:val="20"/>
          <w:szCs w:val="20"/>
        </w:rPr>
        <w:t>.</w:t>
      </w:r>
      <w:r>
        <w:rPr>
          <w:sz w:val="20"/>
          <w:szCs w:val="20"/>
        </w:rPr>
        <w:t xml:space="preserve"> </w:t>
      </w:r>
    </w:p>
    <w:p w:rsidR="00000000" w:rsidRDefault="00A749A6">
      <w:pPr>
        <w:pStyle w:val="a3"/>
        <w:spacing w:before="240" w:beforeAutospacing="0" w:after="0" w:afterAutospacing="0"/>
        <w:ind w:firstLine="555"/>
        <w:jc w:val="both"/>
        <w:rPr>
          <w:sz w:val="20"/>
          <w:szCs w:val="20"/>
        </w:rPr>
      </w:pPr>
      <w:r>
        <w:rPr>
          <w:sz w:val="20"/>
          <w:szCs w:val="20"/>
        </w:rPr>
        <w:t>Combined operating and general and administrative expenses of $130.6 million for the third quarter of fiscal 2022 increased 9.1% compared to the prior year, primarily due to higher payroll and benefit-related expenses, in</w:t>
      </w:r>
      <w:r>
        <w:rPr>
          <w:sz w:val="20"/>
          <w:szCs w:val="20"/>
        </w:rPr>
        <w:t>cluding higher variable compensation expense, higher vehicle lease and fuel costs, higher provisions for doubtful accounts, as well as other inflationary effects on our operating costs</w:t>
      </w:r>
      <w:r>
        <w:rPr>
          <w:sz w:val="20"/>
          <w:szCs w:val="20"/>
        </w:rPr>
        <w:t>.</w:t>
      </w:r>
      <w:r>
        <w:rPr>
          <w:sz w:val="20"/>
          <w:szCs w:val="20"/>
        </w:rPr>
        <w:t xml:space="preserve"> </w:t>
      </w:r>
    </w:p>
    <w:p w:rsidR="00000000" w:rsidRDefault="00A749A6">
      <w:pPr>
        <w:pStyle w:val="a3"/>
        <w:spacing w:before="240" w:beforeAutospacing="0" w:after="0" w:afterAutospacing="0"/>
        <w:ind w:firstLine="555"/>
        <w:jc w:val="both"/>
        <w:rPr>
          <w:sz w:val="20"/>
          <w:szCs w:val="20"/>
        </w:rPr>
      </w:pPr>
      <w:r>
        <w:rPr>
          <w:sz w:val="20"/>
          <w:szCs w:val="20"/>
        </w:rPr>
        <w:t xml:space="preserve">During the third quarter of fiscal 2022, we utilized cash flows from </w:t>
      </w:r>
      <w:r>
        <w:rPr>
          <w:sz w:val="20"/>
          <w:szCs w:val="20"/>
        </w:rPr>
        <w:t xml:space="preserve">operating activities to repay $43.1 million in debt, and make additional investments in Oberon Fuels, Inc. (“Oberon”). As a result of the debt repayment and the increase in Adjusted EBITDA during the third quarter of fiscal 2022, the Consolidated Leverage </w:t>
      </w:r>
      <w:r>
        <w:rPr>
          <w:sz w:val="20"/>
          <w:szCs w:val="20"/>
        </w:rPr>
        <w:t>Ratio, as defined in our credit agreement, for the trailing twelve-month period ending June 25, 2022 improved to 3.64x</w:t>
      </w:r>
      <w:r>
        <w:rPr>
          <w:sz w:val="20"/>
          <w:szCs w:val="20"/>
        </w:rPr>
        <w:t>.</w:t>
      </w:r>
      <w:r>
        <w:rPr>
          <w:sz w:val="20"/>
          <w:szCs w:val="20"/>
        </w:rPr>
        <w:t xml:space="preserve"> </w:t>
      </w:r>
    </w:p>
    <w:p w:rsidR="00000000" w:rsidRDefault="00A749A6">
      <w:pPr>
        <w:pStyle w:val="a3"/>
        <w:spacing w:before="240" w:beforeAutospacing="0" w:after="0" w:afterAutospacing="0"/>
        <w:ind w:firstLine="555"/>
        <w:jc w:val="both"/>
        <w:rPr>
          <w:sz w:val="20"/>
          <w:szCs w:val="20"/>
        </w:rPr>
      </w:pPr>
      <w:r>
        <w:rPr>
          <w:sz w:val="20"/>
          <w:szCs w:val="20"/>
        </w:rPr>
        <w:t>As previously announced on July 21, 2022, the Partnership’s Board of Supervisors declared a quarterly distribution of $0.325 per Common</w:t>
      </w:r>
      <w:r>
        <w:rPr>
          <w:sz w:val="20"/>
          <w:szCs w:val="20"/>
        </w:rPr>
        <w:t xml:space="preserve"> Unit effective for the distribution payable in respect of the third quarter of fiscal 2022. This distribution is payable on August 9, 2022 to Common Unitholders of record as of August 2, 2022</w:t>
      </w:r>
      <w:r>
        <w:rPr>
          <w:sz w:val="20"/>
          <w:szCs w:val="20"/>
        </w:rPr>
        <w:t>.</w:t>
      </w:r>
      <w:r>
        <w:rPr>
          <w:sz w:val="20"/>
          <w:szCs w:val="20"/>
        </w:rPr>
        <w:t xml:space="preserve"> </w:t>
      </w:r>
    </w:p>
    <w:p w:rsidR="00000000" w:rsidRDefault="00A749A6">
      <w:pPr>
        <w:pStyle w:val="a3"/>
        <w:spacing w:before="240" w:beforeAutospacing="0" w:after="0" w:afterAutospacing="0"/>
        <w:ind w:firstLine="555"/>
        <w:jc w:val="both"/>
        <w:rPr>
          <w:sz w:val="20"/>
          <w:szCs w:val="20"/>
        </w:rPr>
      </w:pPr>
      <w:r>
        <w:rPr>
          <w:sz w:val="20"/>
          <w:szCs w:val="20"/>
        </w:rPr>
        <w:t>Our anticipated cash requirements for the remainder of fiscal</w:t>
      </w:r>
      <w:r>
        <w:rPr>
          <w:sz w:val="20"/>
          <w:szCs w:val="20"/>
        </w:rPr>
        <w:t xml:space="preserve"> 2022 include: (i) maintenance and growth capital expenditures of approximately $11.7 million; (ii) interest and income tax payments of approximately $12.0 million; and (iii) cash distributions of approximately $20.5 million to our Common Unitholders based</w:t>
      </w:r>
      <w:r>
        <w:rPr>
          <w:sz w:val="20"/>
          <w:szCs w:val="20"/>
        </w:rPr>
        <w:t xml:space="preserve"> on the quarterly distribution rate of $0.325 per Common Unit. Based on our liquidity position, which includes cash on hand, availability of funds under our revolving credit facility and expected cash flow from operating activities, we expect to have suffi</w:t>
      </w:r>
      <w:r>
        <w:rPr>
          <w:sz w:val="20"/>
          <w:szCs w:val="20"/>
        </w:rPr>
        <w:t>cient funds to meet our current and future obligations</w:t>
      </w:r>
      <w:r>
        <w:rPr>
          <w:sz w:val="20"/>
          <w:szCs w:val="20"/>
        </w:rPr>
        <w:t>.</w:t>
      </w:r>
      <w:r>
        <w:rPr>
          <w:sz w:val="20"/>
          <w:szCs w:val="20"/>
        </w:rPr>
        <w:t xml:space="preserve"> </w:t>
      </w:r>
    </w:p>
    <w:p w:rsidR="00000000" w:rsidRDefault="00A749A6">
      <w:pPr>
        <w:pStyle w:val="a3"/>
        <w:spacing w:before="240" w:beforeAutospacing="0" w:after="0" w:afterAutospacing="0"/>
        <w:ind w:firstLine="555"/>
        <w:jc w:val="both"/>
        <w:rPr>
          <w:sz w:val="20"/>
          <w:szCs w:val="20"/>
        </w:rPr>
      </w:pPr>
      <w:r>
        <w:rPr>
          <w:sz w:val="20"/>
          <w:szCs w:val="20"/>
        </w:rPr>
        <w:t>Although uncertainty remains regarding the long-term impact of the COVID-19 pandemic on the economy and businesses, we believe our efficient and flexible business model, as well as the recent steps taken to strengthen our balance sheet, leave us well posit</w:t>
      </w:r>
      <w:r>
        <w:rPr>
          <w:sz w:val="20"/>
          <w:szCs w:val="20"/>
        </w:rPr>
        <w:t xml:space="preserve">ioned to manage our business through the crisis as it continues to unfold. Nonetheless, as we progress through the remainder of fiscal 2022, there remains significant uncertainty regarding the scope and duration of governmental policies that have been, or </w:t>
      </w:r>
      <w:r>
        <w:rPr>
          <w:sz w:val="20"/>
          <w:szCs w:val="20"/>
        </w:rPr>
        <w:t xml:space="preserve">may in the future be, instituted to mitigate the spread of COVID-19. We will continue to adapt to the changing circumstances and make decisions to help ensure the long-term sustainability of our businesses, and to be able to be opportunistic for strategic </w:t>
      </w:r>
      <w:r>
        <w:rPr>
          <w:sz w:val="20"/>
          <w:szCs w:val="20"/>
        </w:rPr>
        <w:t>growth initiatives</w:t>
      </w:r>
      <w:r>
        <w:rPr>
          <w:sz w:val="20"/>
          <w:szCs w:val="20"/>
        </w:rPr>
        <w:t>.</w:t>
      </w:r>
    </w:p>
    <w:p w:rsidR="00000000" w:rsidRDefault="00A749A6">
      <w:pPr>
        <w:pStyle w:val="a3"/>
        <w:spacing w:before="0" w:beforeAutospacing="0" w:after="0" w:afterAutospacing="0"/>
        <w:jc w:val="center"/>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2</w:t>
      </w:r>
      <w:r>
        <w:rPr>
          <w:sz w:val="20"/>
          <w:szCs w:val="20"/>
        </w:rPr>
        <w:t>6</w:t>
      </w:r>
    </w:p>
    <w:p w:rsidR="00000000" w:rsidRDefault="00A749A6">
      <w:pPr>
        <w:rPr>
          <w:rFonts w:eastAsia="Times New Roman"/>
        </w:rPr>
      </w:pPr>
      <w:r>
        <w:rPr>
          <w:rFonts w:eastAsia="Times New Roman"/>
        </w:rPr>
        <w:pict>
          <v:rect id="_x0000_i1054" style="width:0;height:1.5pt" o:hralign="center" o:hrstd="t" o:hr="t" fillcolor="#a0a0a0" stroked="f"/>
        </w:pict>
      </w:r>
    </w:p>
    <w:p w:rsidR="00000000" w:rsidRDefault="00A749A6">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240" w:beforeAutospacing="0" w:after="0" w:afterAutospacing="0"/>
        <w:ind w:firstLine="555"/>
        <w:jc w:val="both"/>
        <w:rPr>
          <w:sz w:val="20"/>
          <w:szCs w:val="20"/>
        </w:rPr>
      </w:pPr>
      <w:r>
        <w:rPr>
          <w:sz w:val="20"/>
          <w:szCs w:val="20"/>
        </w:rPr>
        <w:t>We also continue to make additional investments in Oberon in support of our ongoing collective efforts to commerci</w:t>
      </w:r>
      <w:r>
        <w:rPr>
          <w:sz w:val="20"/>
          <w:szCs w:val="20"/>
        </w:rPr>
        <w:t>alize clean-burning, renewable dimethyl ether (“rDME”) (see Item 1, Note 4 of this Quarterly Report). Specifically, Oberon continues to evaluate the expansion of production capacity, and we made investments in new equipment in one of our locations in Calif</w:t>
      </w:r>
      <w:r>
        <w:rPr>
          <w:sz w:val="20"/>
          <w:szCs w:val="20"/>
        </w:rPr>
        <w:t>ornia to handle, store and distribute Propane+rDME blended products. During the third quarter of fiscal 2022, we launched the first commercial sales of Propane+rDME, which combines clean, versatile and abundantly available propane with the lower carbon ben</w:t>
      </w:r>
      <w:r>
        <w:rPr>
          <w:sz w:val="20"/>
          <w:szCs w:val="20"/>
        </w:rPr>
        <w:t>efits of rDME, in our southern California markets. Additionally, on May 23, 2022, we announced our agreement with Iwatani Corporation of America to collaborate in advancing the adoption of low-carbon alternative energy solutions across multiple application</w:t>
      </w:r>
      <w:r>
        <w:rPr>
          <w:sz w:val="20"/>
          <w:szCs w:val="20"/>
        </w:rPr>
        <w:t>s in the propane market, including propane blended with rDME and to further advance investments in hydrogen infrastructure and transportation services in the United States. On June 1, 2022, we announced our agreement to construct, own and operate a new bio</w:t>
      </w:r>
      <w:r>
        <w:rPr>
          <w:sz w:val="20"/>
          <w:szCs w:val="20"/>
        </w:rPr>
        <w:t xml:space="preserve">digester system with Adirondack Farms in Clinton County, New York for the production of renewable natural gas (“RNG”). This project further expands the portfolio of clean energy investments under our wholly owned subsidiary, Suburban Renewable Energy, LLC </w:t>
      </w:r>
      <w:r>
        <w:rPr>
          <w:sz w:val="20"/>
          <w:szCs w:val="20"/>
        </w:rPr>
        <w:t>(“Suburban Renewables”), which was formed in January 2022 to support our strategic goal of building a renewable energy platform</w:t>
      </w:r>
      <w:r>
        <w:rPr>
          <w:sz w:val="20"/>
          <w:szCs w:val="20"/>
        </w:rPr>
        <w:t>.</w:t>
      </w:r>
      <w:r>
        <w:rPr>
          <w:sz w:val="20"/>
          <w:szCs w:val="20"/>
        </w:rPr>
        <w:t xml:space="preserve"> </w:t>
      </w:r>
    </w:p>
    <w:p w:rsidR="00000000" w:rsidRDefault="00A749A6">
      <w:pPr>
        <w:pStyle w:val="a3"/>
        <w:spacing w:before="240" w:beforeAutospacing="0" w:after="0" w:afterAutospacing="0"/>
        <w:ind w:firstLine="555"/>
        <w:jc w:val="both"/>
        <w:rPr>
          <w:sz w:val="20"/>
          <w:szCs w:val="20"/>
        </w:rPr>
      </w:pPr>
      <w:r>
        <w:rPr>
          <w:sz w:val="20"/>
          <w:szCs w:val="20"/>
        </w:rPr>
        <w:t>During the second quarter of fiscal 2022, Suburban Renewables completed its investment of $30.0 million, plus direct transacti</w:t>
      </w:r>
      <w:r>
        <w:rPr>
          <w:sz w:val="20"/>
          <w:szCs w:val="20"/>
        </w:rPr>
        <w:t>on costs, in Independence Hydrogen, Inc. (“IH”), in exchange for a 25% equity interest (see Item 1, Note 4 of this Quarterly Report). IH is a veteran-owned and operated, privately held company developing a gaseous hydrogen ecosystem to deliver locally sour</w:t>
      </w:r>
      <w:r>
        <w:rPr>
          <w:sz w:val="20"/>
          <w:szCs w:val="20"/>
        </w:rPr>
        <w:t>ced hydrogen to local markets, with a primary focus on material handling and backup power applications. Hydrogen is a critical energy source to decarbonize the material handling, transportation and heavy industry sectors and it can also provide grid resili</w:t>
      </w:r>
      <w:r>
        <w:rPr>
          <w:sz w:val="20"/>
          <w:szCs w:val="20"/>
        </w:rPr>
        <w:t>ency as backup power and long-duration storage to enable the deployment of intermittent renewable energy sources. IH’s mission is to make communities cleaner, safer and more energy resilient by providing a reliable supply of affordable hydrogen</w:t>
      </w:r>
      <w:r>
        <w:rPr>
          <w:sz w:val="20"/>
          <w:szCs w:val="20"/>
        </w:rPr>
        <w:t>.</w:t>
      </w:r>
    </w:p>
    <w:p w:rsidR="00000000" w:rsidRDefault="00A749A6">
      <w:pPr>
        <w:pStyle w:val="a3"/>
        <w:spacing w:before="360" w:beforeAutospacing="0" w:after="0" w:afterAutospacing="0"/>
        <w:jc w:val="both"/>
        <w:rPr>
          <w:sz w:val="20"/>
          <w:szCs w:val="20"/>
        </w:rPr>
      </w:pPr>
      <w:r>
        <w:rPr>
          <w:b/>
          <w:bCs/>
          <w:sz w:val="20"/>
          <w:szCs w:val="20"/>
        </w:rPr>
        <w:t>Three Mont</w:t>
      </w:r>
      <w:r>
        <w:rPr>
          <w:b/>
          <w:bCs/>
          <w:sz w:val="20"/>
          <w:szCs w:val="20"/>
        </w:rPr>
        <w:t>hs Ended June 25, 2022 Compared to Three Months Ended June 26, 202</w:t>
      </w:r>
      <w:r>
        <w:rPr>
          <w:b/>
          <w:bCs/>
          <w:sz w:val="20"/>
          <w:szCs w:val="20"/>
        </w:rPr>
        <w:t>1</w:t>
      </w:r>
    </w:p>
    <w:p w:rsidR="00000000" w:rsidRDefault="00A749A6">
      <w:pPr>
        <w:pStyle w:val="a3"/>
        <w:spacing w:before="120" w:beforeAutospacing="0" w:after="0" w:afterAutospacing="0"/>
        <w:jc w:val="both"/>
        <w:rPr>
          <w:sz w:val="20"/>
          <w:szCs w:val="20"/>
        </w:rPr>
      </w:pPr>
      <w:r>
        <w:rPr>
          <w:i/>
          <w:iCs/>
          <w:sz w:val="20"/>
          <w:szCs w:val="20"/>
        </w:rPr>
        <w:t>Revenue</w:t>
      </w:r>
      <w:r>
        <w:rPr>
          <w:i/>
          <w:iCs/>
          <w:sz w:val="20"/>
          <w:szCs w:val="20"/>
        </w:rPr>
        <w:t>s</w:t>
      </w:r>
    </w:p>
    <w:p w:rsidR="00000000" w:rsidRDefault="00A749A6">
      <w:pPr>
        <w:pStyle w:val="a3"/>
        <w:spacing w:before="0" w:beforeAutospacing="0" w:after="0" w:afterAutospacing="0"/>
        <w:jc w:val="both"/>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989"/>
        <w:gridCol w:w="110"/>
        <w:gridCol w:w="160"/>
        <w:gridCol w:w="710"/>
        <w:gridCol w:w="110"/>
        <w:gridCol w:w="110"/>
        <w:gridCol w:w="160"/>
        <w:gridCol w:w="710"/>
        <w:gridCol w:w="110"/>
        <w:gridCol w:w="110"/>
        <w:gridCol w:w="161"/>
        <w:gridCol w:w="680"/>
        <w:gridCol w:w="127"/>
        <w:gridCol w:w="115"/>
        <w:gridCol w:w="113"/>
        <w:gridCol w:w="691"/>
        <w:gridCol w:w="309"/>
      </w:tblGrid>
      <w:tr w:rsidR="00000000">
        <w:trPr>
          <w:tblCellSpacing w:w="15" w:type="dxa"/>
        </w:trPr>
        <w:tc>
          <w:tcPr>
            <w:tcW w:w="2492" w:type="pct"/>
            <w:vAlign w:val="center"/>
            <w:hideMark/>
          </w:tcPr>
          <w:p w:rsidR="00000000" w:rsidRDefault="00A749A6">
            <w:pPr>
              <w:rPr>
                <w:sz w:val="20"/>
                <w:szCs w:val="20"/>
              </w:rPr>
            </w:pPr>
          </w:p>
        </w:tc>
        <w:tc>
          <w:tcPr>
            <w:tcW w:w="53"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12"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3"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5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3"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69"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3"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63"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rPr>
                <w:sz w:val="16"/>
                <w:szCs w:val="16"/>
              </w:rPr>
            </w:pPr>
            <w:r>
              <w:rPr>
                <w:b/>
                <w:bCs/>
                <w:sz w:val="16"/>
                <w:szCs w:val="16"/>
              </w:rPr>
              <w:t>(Dollars and gallons in thousands</w:t>
            </w:r>
            <w:r>
              <w:rPr>
                <w:b/>
                <w:bCs/>
                <w:sz w:val="16"/>
                <w:szCs w:val="16"/>
              </w:rPr>
              <w:t>)</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rPr>
                <w:sz w:val="22"/>
                <w:szCs w:val="22"/>
              </w:rPr>
            </w:pPr>
            <w:r>
              <w:rPr>
                <w:sz w:val="22"/>
                <w:szCs w:val="22"/>
              </w:rPr>
              <w:t> </w:t>
            </w:r>
          </w:p>
        </w:tc>
        <w:tc>
          <w:tcPr>
            <w:tcW w:w="0" w:type="auto"/>
            <w:vAlign w:val="bottom"/>
            <w:hideMark/>
          </w:tcPr>
          <w:p w:rsidR="00000000" w:rsidRDefault="00A749A6">
            <w:pPr>
              <w:pStyle w:val="a3"/>
              <w:spacing w:before="0" w:beforeAutospacing="0" w:after="0" w:afterAutospacing="0"/>
              <w:rPr>
                <w:sz w:val="22"/>
                <w:szCs w:val="22"/>
              </w:rPr>
            </w:pPr>
            <w:r>
              <w:rPr>
                <w:sz w:val="22"/>
                <w:szCs w:val="22"/>
              </w:rPr>
              <w:t> </w:t>
            </w:r>
          </w:p>
        </w:tc>
        <w:tc>
          <w:tcPr>
            <w:tcW w:w="0" w:type="auto"/>
            <w:hideMark/>
          </w:tcPr>
          <w:p w:rsidR="00000000" w:rsidRDefault="00A749A6">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26</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(Decrease</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(Decrease</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Revenue</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center"/>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Propan</w:t>
            </w:r>
            <w:r>
              <w:rPr>
                <w:sz w:val="20"/>
                <w:szCs w:val="20"/>
              </w:rPr>
              <w:t>e</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260,63</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208,68</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51,94</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24.</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19,27</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11,31</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7,96</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70.</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Natural gas and electricit</w:t>
            </w:r>
            <w:r>
              <w:rPr>
                <w:sz w:val="20"/>
                <w:szCs w:val="20"/>
              </w:rPr>
              <w:t>y</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7,54</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5,83</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1,71</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29.</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All othe</w:t>
            </w:r>
            <w:r>
              <w:rPr>
                <w:sz w:val="20"/>
                <w:szCs w:val="20"/>
              </w:rPr>
              <w:t>r</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12,87</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12,24</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63</w:t>
            </w:r>
            <w:r>
              <w:rPr>
                <w:sz w:val="20"/>
                <w:szCs w:val="20"/>
              </w:rPr>
              <w:t>0</w:t>
            </w:r>
          </w:p>
        </w:tc>
        <w:tc>
          <w:tcPr>
            <w:tcW w:w="0" w:type="auto"/>
            <w:noWrap/>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ind w:left="400"/>
              <w:rPr>
                <w:sz w:val="20"/>
                <w:szCs w:val="20"/>
              </w:rPr>
            </w:pPr>
            <w:r>
              <w:rPr>
                <w:sz w:val="20"/>
                <w:szCs w:val="20"/>
              </w:rPr>
              <w:t>Total revenue</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300,33</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238,08</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62,24</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26.</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Retail gallons sol</w:t>
            </w:r>
            <w:r>
              <w:rPr>
                <w:sz w:val="20"/>
                <w:szCs w:val="20"/>
              </w:rPr>
              <w:t>d</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Propan</w:t>
            </w:r>
            <w:r>
              <w:rPr>
                <w:sz w:val="20"/>
                <w:szCs w:val="20"/>
              </w:rPr>
              <w:t>e</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75,51</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76,70</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(1,19</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3,62</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3,85</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(22</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r>
              <w:rPr>
                <w:sz w:val="20"/>
                <w:szCs w:val="20"/>
              </w:rPr>
              <w:t>%</w:t>
            </w:r>
          </w:p>
        </w:tc>
      </w:tr>
    </w:tbl>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ind w:firstLine="555"/>
        <w:jc w:val="both"/>
        <w:rPr>
          <w:sz w:val="20"/>
          <w:szCs w:val="20"/>
        </w:rPr>
      </w:pPr>
      <w:r>
        <w:rPr>
          <w:sz w:val="20"/>
          <w:szCs w:val="20"/>
        </w:rPr>
        <w:t>As discussed above, average temperatures (as measured by heating degree days) across all of our service territories during the third quarter of fiscal 2022 were 4% warmer than normal (as measured by the thirty-year average of heating degree days utilized b</w:t>
      </w:r>
      <w:r>
        <w:rPr>
          <w:sz w:val="20"/>
          <w:szCs w:val="20"/>
        </w:rPr>
        <w:t>y NOAA) and 5% cooler than the prior year third quarter. The increase in heating degree days compared to the prior year was primarily experienced in the northeast and midwest regions during the month of April, which was 10% colder than average temperatures</w:t>
      </w:r>
      <w:r>
        <w:rPr>
          <w:sz w:val="20"/>
          <w:szCs w:val="20"/>
        </w:rPr>
        <w:t xml:space="preserve"> in April 2021</w:t>
      </w:r>
      <w:r>
        <w:rPr>
          <w:sz w:val="20"/>
          <w:szCs w:val="20"/>
        </w:rPr>
        <w:t>.</w:t>
      </w:r>
    </w:p>
    <w:p w:rsidR="00000000" w:rsidRDefault="00A749A6">
      <w:pPr>
        <w:pStyle w:val="a3"/>
        <w:spacing w:before="0" w:beforeAutospacing="0" w:after="0" w:afterAutospacing="0"/>
        <w:ind w:firstLine="555"/>
        <w:jc w:val="both"/>
        <w:rPr>
          <w:sz w:val="20"/>
          <w:szCs w:val="20"/>
        </w:rPr>
      </w:pPr>
      <w:r>
        <w:rPr>
          <w:sz w:val="20"/>
          <w:szCs w:val="20"/>
        </w:rPr>
        <w:t> </w:t>
      </w:r>
    </w:p>
    <w:p w:rsidR="00000000" w:rsidRDefault="00A749A6">
      <w:pPr>
        <w:pStyle w:val="a3"/>
        <w:spacing w:before="0" w:beforeAutospacing="0" w:after="0" w:afterAutospacing="0"/>
        <w:ind w:firstLine="555"/>
        <w:jc w:val="both"/>
        <w:rPr>
          <w:sz w:val="20"/>
          <w:szCs w:val="20"/>
        </w:rPr>
      </w:pPr>
      <w:r>
        <w:rPr>
          <w:sz w:val="20"/>
          <w:szCs w:val="20"/>
        </w:rPr>
        <w:t>Revenues from the distribution of propane and related activities of $260.6 million increased $51.9 million, or 24.9%, compared to the prior year, primarily due to higher average retail selling prices associated with higher wholesale costs, offset to an ext</w:t>
      </w:r>
      <w:r>
        <w:rPr>
          <w:sz w:val="20"/>
          <w:szCs w:val="20"/>
        </w:rPr>
        <w:t>ent by lower volumes sold. Average propane selling prices increased 23.6% compared to the prior year, reflecting higher average wholesale costs, resulting in a $48.2 million increase in revenues. Retail propane gallons sold decreased 1.2 million gallons, o</w:t>
      </w:r>
      <w:r>
        <w:rPr>
          <w:sz w:val="20"/>
          <w:szCs w:val="20"/>
        </w:rPr>
        <w:t>r 1.6%, compared to the prior year, primarily due to customer conservation and lower resale activities as described above, resulting in a $3.2 million decrease in revenues. Included within the propane segment are revenues from other propane activities, whi</w:t>
      </w:r>
      <w:r>
        <w:rPr>
          <w:sz w:val="20"/>
          <w:szCs w:val="20"/>
        </w:rPr>
        <w:t>ch increased $6.9 million primarily due to a higher notional amount of hedging contracts used in risk management activities that were settled physically</w:t>
      </w:r>
      <w:r>
        <w:rPr>
          <w:sz w:val="20"/>
          <w:szCs w:val="20"/>
        </w:rPr>
        <w:t>.</w:t>
      </w:r>
    </w:p>
    <w:p w:rsidR="00000000" w:rsidRDefault="00A749A6">
      <w:pPr>
        <w:pStyle w:val="a3"/>
        <w:spacing w:before="240" w:beforeAutospacing="0" w:after="0" w:afterAutospacing="0"/>
        <w:ind w:firstLine="555"/>
        <w:jc w:val="both"/>
        <w:rPr>
          <w:sz w:val="20"/>
          <w:szCs w:val="20"/>
        </w:rPr>
      </w:pPr>
      <w:r>
        <w:rPr>
          <w:sz w:val="20"/>
          <w:szCs w:val="20"/>
        </w:rPr>
        <w:t>Revenues from the distribution of fuel oil and refined fuels of $19.3 million were $8.0 million, or 70</w:t>
      </w:r>
      <w:r>
        <w:rPr>
          <w:sz w:val="20"/>
          <w:szCs w:val="20"/>
        </w:rPr>
        <w:t xml:space="preserve">.4%, higher than the prior year, primarily due to higher average retail selling prices associated with higher wholesale costs, offset to an extent by a decrease in volumes sold. Average fuel oil and refined fuels selling prices increased 81.2% compared to </w:t>
      </w:r>
      <w:r>
        <w:rPr>
          <w:sz w:val="20"/>
          <w:szCs w:val="20"/>
        </w:rPr>
        <w:t>the prior year, reflecting higher average wholesale costs, resulting in an $8.6 million increase in revenues. Fuel oil and refined fuels gallons sold decreased 0.2 million gallons, or 5.8%, primarily due to customer conservation, resulting in a $0.6 millio</w:t>
      </w:r>
      <w:r>
        <w:rPr>
          <w:sz w:val="20"/>
          <w:szCs w:val="20"/>
        </w:rPr>
        <w:t>n decrease in revenues</w:t>
      </w:r>
      <w:r>
        <w:rPr>
          <w:sz w:val="20"/>
          <w:szCs w:val="20"/>
        </w:rPr>
        <w:t>.</w:t>
      </w:r>
      <w:r>
        <w:rPr>
          <w:sz w:val="20"/>
          <w:szCs w:val="20"/>
        </w:rPr>
        <w:t xml:space="preserve"> </w:t>
      </w:r>
    </w:p>
    <w:p w:rsidR="00000000" w:rsidRDefault="00A749A6">
      <w:pPr>
        <w:pStyle w:val="a3"/>
        <w:spacing w:before="0" w:beforeAutospacing="0" w:after="0" w:afterAutospacing="0"/>
        <w:jc w:val="center"/>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2</w:t>
      </w:r>
      <w:r>
        <w:rPr>
          <w:sz w:val="20"/>
          <w:szCs w:val="20"/>
        </w:rPr>
        <w:t>7</w:t>
      </w:r>
    </w:p>
    <w:p w:rsidR="00000000" w:rsidRDefault="00A749A6">
      <w:pPr>
        <w:rPr>
          <w:rFonts w:eastAsia="Times New Roman"/>
        </w:rPr>
      </w:pPr>
      <w:r>
        <w:rPr>
          <w:rFonts w:eastAsia="Times New Roman"/>
        </w:rPr>
        <w:pict>
          <v:rect id="_x0000_i1055" style="width:0;height:1.5pt" o:hralign="center" o:hrstd="t" o:hr="t" fillcolor="#a0a0a0" stroked="f"/>
        </w:pict>
      </w:r>
    </w:p>
    <w:p w:rsidR="00000000" w:rsidRDefault="00A749A6">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240" w:beforeAutospacing="0" w:after="0" w:afterAutospacing="0"/>
        <w:ind w:firstLine="555"/>
        <w:jc w:val="both"/>
        <w:rPr>
          <w:sz w:val="20"/>
          <w:szCs w:val="20"/>
        </w:rPr>
      </w:pPr>
      <w:r>
        <w:rPr>
          <w:sz w:val="20"/>
          <w:szCs w:val="20"/>
        </w:rPr>
        <w:t>Revenues in our natural gas and electricity segment of $7.5 million were $1.7 million, or 29.3%, higher than the prior year, primarily due to higher average selling prices, reflecting higher average wholesale costs, offset to an extent by lower volumes sol</w:t>
      </w:r>
      <w:r>
        <w:rPr>
          <w:sz w:val="20"/>
          <w:szCs w:val="20"/>
        </w:rPr>
        <w:t>d, primarily due to the impact of a lower customer base</w:t>
      </w:r>
      <w:r>
        <w:rPr>
          <w:sz w:val="20"/>
          <w:szCs w:val="20"/>
        </w:rPr>
        <w:t>.</w:t>
      </w:r>
    </w:p>
    <w:p w:rsidR="00000000" w:rsidRDefault="00A749A6">
      <w:pPr>
        <w:pStyle w:val="a3"/>
        <w:spacing w:before="360" w:beforeAutospacing="0" w:after="0" w:afterAutospacing="0"/>
        <w:jc w:val="both"/>
        <w:rPr>
          <w:sz w:val="20"/>
          <w:szCs w:val="20"/>
        </w:rPr>
      </w:pPr>
      <w:r>
        <w:rPr>
          <w:i/>
          <w:iCs/>
          <w:sz w:val="20"/>
          <w:szCs w:val="20"/>
        </w:rPr>
        <w:t>Cost of Products Sol</w:t>
      </w:r>
      <w:r>
        <w:rPr>
          <w:i/>
          <w:iCs/>
          <w:sz w:val="20"/>
          <w:szCs w:val="20"/>
        </w:rPr>
        <w:t>d</w:t>
      </w:r>
    </w:p>
    <w:p w:rsidR="00000000" w:rsidRDefault="00A749A6">
      <w:pPr>
        <w:pStyle w:val="a3"/>
        <w:spacing w:before="0" w:beforeAutospacing="0" w:after="0" w:afterAutospacing="0"/>
        <w:jc w:val="both"/>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36"/>
        <w:gridCol w:w="110"/>
        <w:gridCol w:w="160"/>
        <w:gridCol w:w="710"/>
        <w:gridCol w:w="227"/>
        <w:gridCol w:w="110"/>
        <w:gridCol w:w="160"/>
        <w:gridCol w:w="610"/>
        <w:gridCol w:w="227"/>
        <w:gridCol w:w="115"/>
        <w:gridCol w:w="160"/>
        <w:gridCol w:w="610"/>
        <w:gridCol w:w="115"/>
        <w:gridCol w:w="115"/>
        <w:gridCol w:w="112"/>
        <w:gridCol w:w="556"/>
        <w:gridCol w:w="242"/>
      </w:tblGrid>
      <w:tr w:rsidR="00000000">
        <w:trPr>
          <w:tblCellSpacing w:w="15" w:type="dxa"/>
        </w:trPr>
        <w:tc>
          <w:tcPr>
            <w:tcW w:w="2472" w:type="pct"/>
            <w:vAlign w:val="center"/>
            <w:hideMark/>
          </w:tcPr>
          <w:p w:rsidR="00000000" w:rsidRDefault="00A749A6">
            <w:pPr>
              <w:rPr>
                <w:sz w:val="20"/>
                <w:szCs w:val="20"/>
              </w:rPr>
            </w:pPr>
          </w:p>
        </w:tc>
        <w:tc>
          <w:tcPr>
            <w:tcW w:w="4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83"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0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3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09"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rPr>
                <w:sz w:val="22"/>
                <w:szCs w:val="22"/>
              </w:rPr>
            </w:pPr>
            <w:r>
              <w:rPr>
                <w:sz w:val="22"/>
                <w:szCs w:val="22"/>
              </w:rPr>
              <w:t> </w:t>
            </w:r>
          </w:p>
        </w:tc>
        <w:tc>
          <w:tcPr>
            <w:tcW w:w="0" w:type="auto"/>
            <w:vAlign w:val="bottom"/>
            <w:hideMark/>
          </w:tcPr>
          <w:p w:rsidR="00000000" w:rsidRDefault="00A749A6">
            <w:pPr>
              <w:pStyle w:val="a3"/>
              <w:spacing w:before="0" w:beforeAutospacing="0" w:after="0" w:afterAutospacing="0"/>
              <w:rPr>
                <w:sz w:val="22"/>
                <w:szCs w:val="22"/>
              </w:rPr>
            </w:pPr>
            <w:r>
              <w:rPr>
                <w:sz w:val="22"/>
                <w:szCs w:val="22"/>
              </w:rPr>
              <w:t> </w:t>
            </w:r>
          </w:p>
        </w:tc>
        <w:tc>
          <w:tcPr>
            <w:tcW w:w="0" w:type="auto"/>
            <w:hideMark/>
          </w:tcPr>
          <w:p w:rsidR="00000000" w:rsidRDefault="00A749A6">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26</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Cost of products sol</w:t>
            </w:r>
            <w:r>
              <w:rPr>
                <w:sz w:val="20"/>
                <w:szCs w:val="20"/>
              </w:rPr>
              <w:t>d</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Propan</w:t>
            </w:r>
            <w:r>
              <w:rPr>
                <w:sz w:val="20"/>
                <w:szCs w:val="20"/>
              </w:rPr>
              <w:t>e</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117,39</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68,21</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49,17</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72.</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14,32</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7,56</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6,76</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89.</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Natural gas and electricit</w:t>
            </w:r>
            <w:r>
              <w:rPr>
                <w:sz w:val="20"/>
                <w:szCs w:val="20"/>
              </w:rPr>
              <w:t>y</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5,34</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3,48</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1,86</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53.</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All othe</w:t>
            </w:r>
            <w:r>
              <w:rPr>
                <w:sz w:val="20"/>
                <w:szCs w:val="20"/>
              </w:rPr>
              <w:t>r</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3,86</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3,79</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ind w:left="400"/>
              <w:rPr>
                <w:sz w:val="20"/>
                <w:szCs w:val="20"/>
              </w:rPr>
            </w:pPr>
            <w:r>
              <w:rPr>
                <w:sz w:val="20"/>
                <w:szCs w:val="20"/>
              </w:rPr>
              <w:t>Total cost of products sol</w:t>
            </w:r>
            <w:r>
              <w:rPr>
                <w:sz w:val="20"/>
                <w:szCs w:val="20"/>
              </w:rPr>
              <w:t>d</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140,93</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83,05</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57,87</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69.</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As a percent of total revenue</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46.</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34.</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bl>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ind w:firstLine="555"/>
        <w:jc w:val="both"/>
        <w:rPr>
          <w:sz w:val="20"/>
          <w:szCs w:val="20"/>
        </w:rPr>
      </w:pPr>
      <w:r>
        <w:rPr>
          <w:sz w:val="20"/>
          <w:szCs w:val="20"/>
        </w:rPr>
        <w:t>The cost of products sold reported in the condensed consolidated statements of operations represents the weighted average unit cost of propane, fuel oil and refined fuels, and natural gas and electricity sold, including transportation costs to deliver prod</w:t>
      </w:r>
      <w:r>
        <w:rPr>
          <w:sz w:val="20"/>
          <w:szCs w:val="20"/>
        </w:rPr>
        <w:t xml:space="preserve">uct from our supply points to storage or to our customer service centers. Cost of products sold also includes the cost of appliances and related parts sold or installed by our customer service centers computed on a basis that approximates the average cost </w:t>
      </w:r>
      <w:r>
        <w:rPr>
          <w:sz w:val="20"/>
          <w:szCs w:val="20"/>
        </w:rPr>
        <w:t>of the products</w:t>
      </w:r>
      <w:r>
        <w:rPr>
          <w:sz w:val="20"/>
          <w:szCs w:val="20"/>
        </w:rPr>
        <w:t>.</w:t>
      </w:r>
      <w:r>
        <w:rPr>
          <w:sz w:val="20"/>
          <w:szCs w:val="20"/>
        </w:rPr>
        <w:t xml:space="preserve"> </w:t>
      </w:r>
    </w:p>
    <w:p w:rsidR="00000000" w:rsidRDefault="00A749A6">
      <w:pPr>
        <w:pStyle w:val="a3"/>
        <w:spacing w:before="240" w:beforeAutospacing="0" w:after="0" w:afterAutospacing="0"/>
        <w:ind w:firstLine="555"/>
        <w:jc w:val="both"/>
        <w:rPr>
          <w:sz w:val="20"/>
          <w:szCs w:val="20"/>
        </w:rPr>
      </w:pPr>
      <w:r>
        <w:rPr>
          <w:sz w:val="20"/>
          <w:szCs w:val="20"/>
        </w:rPr>
        <w:t>Given the retail nature of our operations, we maintain a certain level of priced physical inventory to help ensure that our field operations have adequate supply commensurate with the time of year. Our strategy has been, and will continue</w:t>
      </w:r>
      <w:r>
        <w:rPr>
          <w:sz w:val="20"/>
          <w:szCs w:val="20"/>
        </w:rPr>
        <w:t xml:space="preserve"> to be, to keep our physical inventory priced relatively close to market for our field operations. Consistent with past practices, we principally utilize futures and/or options contracts traded on the NYMEX to mitigate the price risk associated with our pr</w:t>
      </w:r>
      <w:r>
        <w:rPr>
          <w:sz w:val="20"/>
          <w:szCs w:val="20"/>
        </w:rPr>
        <w:t>iced physical inventory, as well as, in certain instances, forecasted purchases of propane or fuel oil. In addition, we sell propane and fuel oil to customers at fixed prices, and enter into derivative instruments to hedge a portion of our exposure to fluc</w:t>
      </w:r>
      <w:r>
        <w:rPr>
          <w:sz w:val="20"/>
          <w:szCs w:val="20"/>
        </w:rPr>
        <w:t xml:space="preserve">tuations in commodity prices as a result of selling the fixed price contracts. At expiration, the derivative contracts are settled by the delivery of the product to the respective party or are settled by the payment to the respective party of a net amount </w:t>
      </w:r>
      <w:r>
        <w:rPr>
          <w:sz w:val="20"/>
          <w:szCs w:val="20"/>
        </w:rPr>
        <w:t>equal to the difference between the then market price and the fixed contract price or option exercise price. Under this risk management strategy, realized gains or losses on futures or options contracts, which are reported in cost of products sold, that ar</w:t>
      </w:r>
      <w:r>
        <w:rPr>
          <w:sz w:val="20"/>
          <w:szCs w:val="20"/>
        </w:rPr>
        <w:t>e used to hedge price risk associated with our priced physical inventory or fixed price volumes sold will typically offset losses or gains on the physical inventory once the product is sold or delivered as it pertains to fixed price contracts (which may or</w:t>
      </w:r>
      <w:r>
        <w:rPr>
          <w:sz w:val="20"/>
          <w:szCs w:val="20"/>
        </w:rPr>
        <w:t xml:space="preserve"> may not occur in the same accounting period). We do not use futures or options contracts, or other derivative instruments, for speculative trading purposes. Unrealized non-cash gains or losses from changes in the fair value of derivative instruments that </w:t>
      </w:r>
      <w:r>
        <w:rPr>
          <w:sz w:val="20"/>
          <w:szCs w:val="20"/>
        </w:rPr>
        <w:t>are not designated as cash flow hedges are recorded within cost of products sold. Cost of products sold excludes depreciation and amortization; these amounts are reported separately within the condensed consolidated statements of operations</w:t>
      </w:r>
      <w:r>
        <w:rPr>
          <w:sz w:val="20"/>
          <w:szCs w:val="20"/>
        </w:rPr>
        <w:t>.</w:t>
      </w:r>
    </w:p>
    <w:p w:rsidR="00000000" w:rsidRDefault="00A749A6">
      <w:pPr>
        <w:pStyle w:val="a3"/>
        <w:spacing w:before="240" w:beforeAutospacing="0" w:after="0" w:afterAutospacing="0"/>
        <w:ind w:firstLine="555"/>
        <w:jc w:val="both"/>
        <w:rPr>
          <w:sz w:val="20"/>
          <w:szCs w:val="20"/>
        </w:rPr>
      </w:pPr>
      <w:r>
        <w:rPr>
          <w:sz w:val="20"/>
          <w:szCs w:val="20"/>
        </w:rPr>
        <w:t>In the commodities markets, average posted propane prices (basis Mont Belvieu, Texas) and fuel oil prices were 43.8% and 101.5% higher than the prior year third quarter, respectively. The net change in the fair value of derivative instruments resulted in a</w:t>
      </w:r>
      <w:r>
        <w:rPr>
          <w:sz w:val="20"/>
          <w:szCs w:val="20"/>
        </w:rPr>
        <w:t xml:space="preserve"> $0.9 million unrealized non-cash loss in the third quarter of fiscal 2022 compared to an $11.1 million unrealized non-cash gain in the prior year quarter, resulting in a net increase of $12.0 million in cost of products sold year-over-year, all of which w</w:t>
      </w:r>
      <w:r>
        <w:rPr>
          <w:sz w:val="20"/>
          <w:szCs w:val="20"/>
        </w:rPr>
        <w:t>as reported within the propane segment. These unrealized mark-to-market adjustments are excluded from Adjusted EBITDA for both periods</w:t>
      </w:r>
      <w:r>
        <w:rPr>
          <w:sz w:val="20"/>
          <w:szCs w:val="20"/>
        </w:rPr>
        <w:t>.</w:t>
      </w:r>
    </w:p>
    <w:p w:rsidR="00000000" w:rsidRDefault="00A749A6">
      <w:pPr>
        <w:pStyle w:val="a3"/>
        <w:spacing w:before="240" w:beforeAutospacing="0" w:after="0" w:afterAutospacing="0"/>
        <w:ind w:firstLine="555"/>
        <w:jc w:val="both"/>
        <w:rPr>
          <w:sz w:val="20"/>
          <w:szCs w:val="20"/>
        </w:rPr>
      </w:pPr>
      <w:r>
        <w:rPr>
          <w:sz w:val="20"/>
          <w:szCs w:val="20"/>
        </w:rPr>
        <w:t>Cost of products sold associated with the distribution of propane and related activities of $117.4 million increased $49</w:t>
      </w:r>
      <w:r>
        <w:rPr>
          <w:sz w:val="20"/>
          <w:szCs w:val="20"/>
        </w:rPr>
        <w:t>.2 million, or 72.1%, compared to the prior year third quarter. Higher average wholesale costs, net of realized gains on commodity hedges, contributed to an increase in cost of products sold of $33.6 million, while lower volumes sold contributed to a decre</w:t>
      </w:r>
      <w:r>
        <w:rPr>
          <w:sz w:val="20"/>
          <w:szCs w:val="20"/>
        </w:rPr>
        <w:t>ase of $1.3 million in cost of products sold. Included within the propane segment are costs from other propane activities which increased $4.9 million compared to the prior year due to a higher notional amount of hedging contracts that were settled physica</w:t>
      </w:r>
      <w:r>
        <w:rPr>
          <w:sz w:val="20"/>
          <w:szCs w:val="20"/>
        </w:rPr>
        <w:t>lly, as well as the net increase in cost of products sold of $12.0 million resulting from the mark-to-market adjustments on derivative instruments in both periods discussed above</w:t>
      </w:r>
      <w:r>
        <w:rPr>
          <w:sz w:val="20"/>
          <w:szCs w:val="20"/>
        </w:rPr>
        <w:t>.</w:t>
      </w:r>
      <w:r>
        <w:rPr>
          <w:sz w:val="20"/>
          <w:szCs w:val="20"/>
        </w:rPr>
        <w:t xml:space="preserve"> </w:t>
      </w:r>
    </w:p>
    <w:p w:rsidR="00000000" w:rsidRDefault="00A749A6">
      <w:pPr>
        <w:pStyle w:val="a3"/>
        <w:spacing w:before="240" w:beforeAutospacing="0" w:after="0" w:afterAutospacing="0"/>
        <w:ind w:firstLine="555"/>
        <w:jc w:val="both"/>
        <w:rPr>
          <w:sz w:val="20"/>
          <w:szCs w:val="20"/>
        </w:rPr>
      </w:pPr>
      <w:r>
        <w:rPr>
          <w:sz w:val="20"/>
          <w:szCs w:val="20"/>
        </w:rPr>
        <w:t>Cost of products sold associated with our fuel oil and refined fuels segmen</w:t>
      </w:r>
      <w:r>
        <w:rPr>
          <w:sz w:val="20"/>
          <w:szCs w:val="20"/>
        </w:rPr>
        <w:t xml:space="preserve">t of $14.3 million increased $6.8 million, or 89.5%, compared to the prior year third quarter. Higher average wholesale costs led to an increase in costs of products sold of $7.2 million, which was offset to an extent by a $0.4 million decrease associated </w:t>
      </w:r>
      <w:r>
        <w:rPr>
          <w:sz w:val="20"/>
          <w:szCs w:val="20"/>
        </w:rPr>
        <w:t>with lower volumes</w:t>
      </w:r>
      <w:r>
        <w:rPr>
          <w:sz w:val="20"/>
          <w:szCs w:val="20"/>
        </w:rPr>
        <w:t>.</w:t>
      </w:r>
    </w:p>
    <w:p w:rsidR="00000000" w:rsidRDefault="00A749A6">
      <w:pPr>
        <w:pStyle w:val="a3"/>
        <w:spacing w:before="240" w:beforeAutospacing="0" w:after="0" w:afterAutospacing="0"/>
        <w:ind w:firstLine="555"/>
        <w:jc w:val="both"/>
        <w:rPr>
          <w:sz w:val="20"/>
          <w:szCs w:val="20"/>
        </w:rPr>
      </w:pPr>
      <w:r>
        <w:rPr>
          <w:sz w:val="20"/>
          <w:szCs w:val="20"/>
        </w:rPr>
        <w:t>Cost of products sold in our natural gas and electricity segment of $5.3 million increased $1.9 million, or 53.6%, compared to the prior year primarily due to higher natural gas and electricity wholesale costs, partially offset by lower</w:t>
      </w:r>
      <w:r>
        <w:rPr>
          <w:sz w:val="20"/>
          <w:szCs w:val="20"/>
        </w:rPr>
        <w:t xml:space="preserve"> usage</w:t>
      </w:r>
      <w:r>
        <w:rPr>
          <w:sz w:val="20"/>
          <w:szCs w:val="20"/>
        </w:rPr>
        <w:t>.</w:t>
      </w:r>
    </w:p>
    <w:p w:rsidR="00000000" w:rsidRDefault="00A749A6">
      <w:pPr>
        <w:pStyle w:val="a3"/>
        <w:spacing w:before="0" w:beforeAutospacing="0" w:after="0" w:afterAutospacing="0"/>
        <w:jc w:val="center"/>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2</w:t>
      </w:r>
      <w:r>
        <w:rPr>
          <w:sz w:val="20"/>
          <w:szCs w:val="20"/>
        </w:rPr>
        <w:t>8</w:t>
      </w:r>
    </w:p>
    <w:p w:rsidR="00000000" w:rsidRDefault="00A749A6">
      <w:pPr>
        <w:rPr>
          <w:rFonts w:eastAsia="Times New Roman"/>
        </w:rPr>
      </w:pPr>
      <w:r>
        <w:rPr>
          <w:rFonts w:eastAsia="Times New Roman"/>
        </w:rPr>
        <w:pict>
          <v:rect id="_x0000_i1056" style="width:0;height:1.5pt" o:hralign="center" o:hrstd="t" o:hr="t" fillcolor="#a0a0a0" stroked="f"/>
        </w:pict>
      </w:r>
    </w:p>
    <w:p w:rsidR="00000000" w:rsidRDefault="00A749A6">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0" w:beforeAutospacing="0" w:after="0" w:afterAutospacing="0"/>
        <w:jc w:val="both"/>
        <w:rPr>
          <w:sz w:val="20"/>
          <w:szCs w:val="20"/>
        </w:rPr>
      </w:pPr>
      <w:r>
        <w:rPr>
          <w:i/>
          <w:iCs/>
          <w:sz w:val="20"/>
          <w:szCs w:val="20"/>
        </w:rPr>
        <w:t>Operating Expense</w:t>
      </w:r>
      <w:r>
        <w:rPr>
          <w:i/>
          <w:iCs/>
          <w:sz w:val="20"/>
          <w:szCs w:val="20"/>
        </w:rPr>
        <w:t>s</w:t>
      </w:r>
    </w:p>
    <w:p w:rsidR="00000000" w:rsidRDefault="00A749A6">
      <w:pPr>
        <w:pStyle w:val="a3"/>
        <w:spacing w:before="0" w:beforeAutospacing="0" w:after="0" w:afterAutospacing="0"/>
        <w:jc w:val="both"/>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51"/>
        <w:gridCol w:w="110"/>
        <w:gridCol w:w="160"/>
        <w:gridCol w:w="710"/>
        <w:gridCol w:w="227"/>
        <w:gridCol w:w="110"/>
        <w:gridCol w:w="160"/>
        <w:gridCol w:w="710"/>
        <w:gridCol w:w="227"/>
        <w:gridCol w:w="110"/>
        <w:gridCol w:w="160"/>
        <w:gridCol w:w="510"/>
        <w:gridCol w:w="110"/>
        <w:gridCol w:w="110"/>
        <w:gridCol w:w="112"/>
        <w:gridCol w:w="556"/>
        <w:gridCol w:w="242"/>
      </w:tblGrid>
      <w:tr w:rsidR="00000000">
        <w:trPr>
          <w:tblCellSpacing w:w="15" w:type="dxa"/>
        </w:trPr>
        <w:tc>
          <w:tcPr>
            <w:tcW w:w="2457" w:type="pct"/>
            <w:vAlign w:val="center"/>
            <w:hideMark/>
          </w:tcPr>
          <w:p w:rsidR="00000000" w:rsidRDefault="00A749A6">
            <w:pPr>
              <w:rPr>
                <w:sz w:val="20"/>
                <w:szCs w:val="20"/>
              </w:rPr>
            </w:pPr>
          </w:p>
        </w:tc>
        <w:tc>
          <w:tcPr>
            <w:tcW w:w="49"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77"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9"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03"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9"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53"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9"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1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26</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Operating expense</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109,08</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102,01</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7,06</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As a percent of total revenue</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36.</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42.</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bl>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40" w:beforeAutospacing="0" w:after="0" w:afterAutospacing="0"/>
        <w:ind w:firstLine="555"/>
        <w:jc w:val="both"/>
        <w:rPr>
          <w:sz w:val="20"/>
          <w:szCs w:val="20"/>
        </w:rPr>
      </w:pPr>
      <w:r>
        <w:rPr>
          <w:sz w:val="20"/>
          <w:szCs w:val="20"/>
        </w:rPr>
        <w:t>All costs of operating our retail distribution and appliance sales and service operations are reported within operating expenses in the condensed consolidated statements of operations. These operating expenses include the compensation and benefits of field</w:t>
      </w:r>
      <w:r>
        <w:rPr>
          <w:sz w:val="20"/>
          <w:szCs w:val="20"/>
        </w:rPr>
        <w:t xml:space="preserve"> and direct operating support personnel, costs of operating and maintaining our vehicle fleet, overhead and other costs of our purchasing, training and safety departments and other direct and indirect costs of operating our customer service centers</w:t>
      </w:r>
      <w:r>
        <w:rPr>
          <w:sz w:val="20"/>
          <w:szCs w:val="20"/>
        </w:rPr>
        <w:t>.</w:t>
      </w:r>
    </w:p>
    <w:p w:rsidR="00000000" w:rsidRDefault="00A749A6">
      <w:pPr>
        <w:pStyle w:val="a3"/>
        <w:spacing w:before="240" w:beforeAutospacing="0" w:after="0" w:afterAutospacing="0"/>
        <w:ind w:firstLine="555"/>
        <w:jc w:val="both"/>
        <w:rPr>
          <w:sz w:val="20"/>
          <w:szCs w:val="20"/>
        </w:rPr>
      </w:pPr>
      <w:r>
        <w:rPr>
          <w:sz w:val="20"/>
          <w:szCs w:val="20"/>
        </w:rPr>
        <w:t xml:space="preserve">Operating expenses of $109.1 million for the third quarter of fiscal 2022 increased $7.1 million, or 6.9%, compared to the prior year third quarter, primarily due to higher payroll and benefit-related costs, including higher variable compensation expense, </w:t>
      </w:r>
      <w:r>
        <w:rPr>
          <w:sz w:val="20"/>
          <w:szCs w:val="20"/>
        </w:rPr>
        <w:t>higher vehicle lease and fuel costs, higher provisions for doubtful accounts as a result of higher selling prices, as well as other inflationary effects on our operating costs</w:t>
      </w:r>
      <w:r>
        <w:rPr>
          <w:sz w:val="20"/>
          <w:szCs w:val="20"/>
        </w:rPr>
        <w:t>.</w:t>
      </w:r>
    </w:p>
    <w:p w:rsidR="00000000" w:rsidRDefault="00A749A6">
      <w:pPr>
        <w:pStyle w:val="a3"/>
        <w:spacing w:before="360" w:beforeAutospacing="0" w:after="0" w:afterAutospacing="0"/>
        <w:jc w:val="both"/>
        <w:rPr>
          <w:sz w:val="20"/>
          <w:szCs w:val="20"/>
        </w:rPr>
      </w:pPr>
      <w:r>
        <w:rPr>
          <w:i/>
          <w:iCs/>
          <w:sz w:val="20"/>
          <w:szCs w:val="20"/>
        </w:rPr>
        <w:t>General and Administrative Expense</w:t>
      </w:r>
      <w:r>
        <w:rPr>
          <w:i/>
          <w:iCs/>
          <w:sz w:val="20"/>
          <w:szCs w:val="20"/>
        </w:rPr>
        <w:t>s</w:t>
      </w:r>
    </w:p>
    <w:p w:rsidR="00000000" w:rsidRDefault="00A749A6">
      <w:pPr>
        <w:pStyle w:val="a3"/>
        <w:spacing w:before="0" w:beforeAutospacing="0" w:after="0" w:afterAutospacing="0"/>
        <w:jc w:val="both"/>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41"/>
        <w:gridCol w:w="110"/>
        <w:gridCol w:w="160"/>
        <w:gridCol w:w="610"/>
        <w:gridCol w:w="227"/>
        <w:gridCol w:w="110"/>
        <w:gridCol w:w="160"/>
        <w:gridCol w:w="610"/>
        <w:gridCol w:w="227"/>
        <w:gridCol w:w="110"/>
        <w:gridCol w:w="160"/>
        <w:gridCol w:w="510"/>
        <w:gridCol w:w="110"/>
        <w:gridCol w:w="110"/>
        <w:gridCol w:w="112"/>
        <w:gridCol w:w="566"/>
        <w:gridCol w:w="242"/>
      </w:tblGrid>
      <w:tr w:rsidR="00000000">
        <w:trPr>
          <w:tblCellSpacing w:w="15" w:type="dxa"/>
        </w:trPr>
        <w:tc>
          <w:tcPr>
            <w:tcW w:w="2466" w:type="pct"/>
            <w:vAlign w:val="center"/>
            <w:hideMark/>
          </w:tcPr>
          <w:p w:rsidR="00000000" w:rsidRDefault="00A749A6">
            <w:pPr>
              <w:rPr>
                <w:sz w:val="20"/>
                <w:szCs w:val="20"/>
              </w:rPr>
            </w:pPr>
          </w:p>
        </w:tc>
        <w:tc>
          <w:tcPr>
            <w:tcW w:w="49"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77"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9"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03"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9"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54"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9"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0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26</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General and administrative expense</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21,54</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17,75</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3,78</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21.</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As a percent of total revenue</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bl>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40" w:beforeAutospacing="0" w:after="0" w:afterAutospacing="0"/>
        <w:ind w:firstLine="555"/>
        <w:jc w:val="both"/>
        <w:rPr>
          <w:sz w:val="20"/>
          <w:szCs w:val="20"/>
        </w:rPr>
      </w:pPr>
      <w:r>
        <w:rPr>
          <w:sz w:val="20"/>
          <w:szCs w:val="20"/>
        </w:rPr>
        <w:t xml:space="preserve">All costs of our back office support functions, including compensation and benefits for executives and other support functions, as well as other costs and expenses to maintain finance and accounting, treasury, legal, human resources, corporate development </w:t>
      </w:r>
      <w:r>
        <w:rPr>
          <w:sz w:val="20"/>
          <w:szCs w:val="20"/>
        </w:rPr>
        <w:t>and the information systems functions are reported within general and administrative expenses in the condensed consolidated statements of operations</w:t>
      </w:r>
      <w:r>
        <w:rPr>
          <w:sz w:val="20"/>
          <w:szCs w:val="20"/>
        </w:rPr>
        <w:t>.</w:t>
      </w:r>
    </w:p>
    <w:p w:rsidR="00000000" w:rsidRDefault="00A749A6">
      <w:pPr>
        <w:pStyle w:val="a3"/>
        <w:spacing w:before="240" w:beforeAutospacing="0" w:after="0" w:afterAutospacing="0"/>
        <w:ind w:firstLine="555"/>
        <w:jc w:val="both"/>
        <w:rPr>
          <w:sz w:val="20"/>
          <w:szCs w:val="20"/>
        </w:rPr>
      </w:pPr>
      <w:r>
        <w:rPr>
          <w:sz w:val="20"/>
          <w:szCs w:val="20"/>
        </w:rPr>
        <w:t>General and administrative expenses of $21.5 million for the third quarter of fiscal 2022 increased $3.8 million, or 21.3%, compared to the prior year third quarter, primarily due to higher payroll and benefit-related costs, including higher variable compe</w:t>
      </w:r>
      <w:r>
        <w:rPr>
          <w:sz w:val="20"/>
          <w:szCs w:val="20"/>
        </w:rPr>
        <w:t>nsation expense, as well as other inflationary increases</w:t>
      </w:r>
      <w:r>
        <w:rPr>
          <w:sz w:val="20"/>
          <w:szCs w:val="20"/>
        </w:rPr>
        <w:t>.</w:t>
      </w:r>
      <w:r>
        <w:rPr>
          <w:sz w:val="20"/>
          <w:szCs w:val="20"/>
        </w:rPr>
        <w:t xml:space="preserve"> </w:t>
      </w:r>
    </w:p>
    <w:p w:rsidR="00000000" w:rsidRDefault="00A749A6">
      <w:pPr>
        <w:pStyle w:val="a3"/>
        <w:spacing w:before="360" w:beforeAutospacing="0" w:after="0" w:afterAutospacing="0"/>
        <w:jc w:val="both"/>
        <w:rPr>
          <w:sz w:val="20"/>
          <w:szCs w:val="20"/>
        </w:rPr>
      </w:pPr>
      <w:r>
        <w:rPr>
          <w:i/>
          <w:iCs/>
          <w:sz w:val="20"/>
          <w:szCs w:val="20"/>
        </w:rPr>
        <w:t>Depreciation and Amortizatio</w:t>
      </w:r>
      <w:r>
        <w:rPr>
          <w:i/>
          <w:iCs/>
          <w:sz w:val="20"/>
          <w:szCs w:val="20"/>
        </w:rPr>
        <w:t>n</w:t>
      </w:r>
    </w:p>
    <w:p w:rsidR="00000000" w:rsidRDefault="00A749A6">
      <w:pPr>
        <w:pStyle w:val="a3"/>
        <w:spacing w:before="0" w:beforeAutospacing="0" w:after="0" w:afterAutospacing="0"/>
        <w:jc w:val="both"/>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67"/>
        <w:gridCol w:w="110"/>
        <w:gridCol w:w="160"/>
        <w:gridCol w:w="610"/>
        <w:gridCol w:w="227"/>
        <w:gridCol w:w="110"/>
        <w:gridCol w:w="160"/>
        <w:gridCol w:w="610"/>
        <w:gridCol w:w="227"/>
        <w:gridCol w:w="110"/>
        <w:gridCol w:w="160"/>
        <w:gridCol w:w="677"/>
        <w:gridCol w:w="127"/>
        <w:gridCol w:w="110"/>
        <w:gridCol w:w="111"/>
        <w:gridCol w:w="590"/>
        <w:gridCol w:w="309"/>
      </w:tblGrid>
      <w:tr w:rsidR="00000000">
        <w:trPr>
          <w:tblCellSpacing w:w="15" w:type="dxa"/>
        </w:trPr>
        <w:tc>
          <w:tcPr>
            <w:tcW w:w="2459" w:type="pct"/>
            <w:vAlign w:val="center"/>
            <w:hideMark/>
          </w:tcPr>
          <w:p w:rsidR="00000000" w:rsidRDefault="00A749A6">
            <w:pPr>
              <w:rPr>
                <w:sz w:val="20"/>
                <w:szCs w:val="20"/>
              </w:rPr>
            </w:pPr>
          </w:p>
        </w:tc>
        <w:tc>
          <w:tcPr>
            <w:tcW w:w="4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73"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99"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37"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34"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26</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Decreas</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Decreas</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Depreciation and amortizatio</w:t>
            </w:r>
            <w:r>
              <w:rPr>
                <w:sz w:val="20"/>
                <w:szCs w:val="20"/>
              </w:rPr>
              <w:t>n</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14,00</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27,25</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(13,24</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(48.</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As a percent of total revenue</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11.</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bl>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ind w:firstLine="555"/>
        <w:jc w:val="both"/>
        <w:rPr>
          <w:sz w:val="20"/>
          <w:szCs w:val="20"/>
        </w:rPr>
      </w:pPr>
      <w:r>
        <w:rPr>
          <w:sz w:val="20"/>
          <w:szCs w:val="20"/>
        </w:rPr>
        <w:t>Depreciation and amortization expense of $14.0 million for the third quarter of fiscal 2022 decreased $13.2 million, or 48.6%, compared to the prior year third quarter, primarily as a result of lower amortization expense attributable to the conclusion of t</w:t>
      </w:r>
      <w:r>
        <w:rPr>
          <w:sz w:val="20"/>
          <w:szCs w:val="20"/>
        </w:rPr>
        <w:t>he amortization period for certain intangible assets from prior business acquisitions</w:t>
      </w:r>
      <w:r>
        <w:rPr>
          <w:sz w:val="20"/>
          <w:szCs w:val="20"/>
        </w:rPr>
        <w:t>.</w:t>
      </w:r>
      <w:r>
        <w:rPr>
          <w:sz w:val="20"/>
          <w:szCs w:val="20"/>
        </w:rPr>
        <w:t xml:space="preserve"> </w:t>
      </w:r>
    </w:p>
    <w:p w:rsidR="00000000" w:rsidRDefault="00A749A6">
      <w:pPr>
        <w:pStyle w:val="a3"/>
        <w:spacing w:before="360" w:beforeAutospacing="0" w:after="0" w:afterAutospacing="0"/>
        <w:jc w:val="both"/>
        <w:rPr>
          <w:sz w:val="20"/>
          <w:szCs w:val="20"/>
        </w:rPr>
      </w:pPr>
      <w:r>
        <w:rPr>
          <w:i/>
          <w:iCs/>
          <w:sz w:val="20"/>
          <w:szCs w:val="20"/>
        </w:rPr>
        <w:t>Interest Expense, ne</w:t>
      </w:r>
      <w:r>
        <w:rPr>
          <w:i/>
          <w:iCs/>
          <w:sz w:val="20"/>
          <w:szCs w:val="20"/>
        </w:rPr>
        <w:t>t</w:t>
      </w:r>
    </w:p>
    <w:p w:rsidR="00000000" w:rsidRDefault="00A749A6">
      <w:pPr>
        <w:pStyle w:val="a3"/>
        <w:spacing w:before="0" w:beforeAutospacing="0" w:after="0" w:afterAutospacing="0"/>
        <w:jc w:val="both"/>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67"/>
        <w:gridCol w:w="110"/>
        <w:gridCol w:w="160"/>
        <w:gridCol w:w="610"/>
        <w:gridCol w:w="227"/>
        <w:gridCol w:w="110"/>
        <w:gridCol w:w="160"/>
        <w:gridCol w:w="610"/>
        <w:gridCol w:w="227"/>
        <w:gridCol w:w="110"/>
        <w:gridCol w:w="160"/>
        <w:gridCol w:w="577"/>
        <w:gridCol w:w="127"/>
        <w:gridCol w:w="110"/>
        <w:gridCol w:w="111"/>
        <w:gridCol w:w="590"/>
        <w:gridCol w:w="309"/>
      </w:tblGrid>
      <w:tr w:rsidR="00000000">
        <w:trPr>
          <w:tblCellSpacing w:w="15" w:type="dxa"/>
        </w:trPr>
        <w:tc>
          <w:tcPr>
            <w:tcW w:w="2459" w:type="pct"/>
            <w:vAlign w:val="center"/>
            <w:hideMark/>
          </w:tcPr>
          <w:p w:rsidR="00000000" w:rsidRDefault="00A749A6">
            <w:pPr>
              <w:rPr>
                <w:sz w:val="20"/>
                <w:szCs w:val="20"/>
              </w:rPr>
            </w:pPr>
          </w:p>
        </w:tc>
        <w:tc>
          <w:tcPr>
            <w:tcW w:w="4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73"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99"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37"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34"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26</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Decreas</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Decreas</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Interest expense, ne</w:t>
            </w:r>
            <w:r>
              <w:rPr>
                <w:sz w:val="20"/>
                <w:szCs w:val="20"/>
              </w:rPr>
              <w:t>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15,00</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16,73</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(1,73</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(10.</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As a percent of total revenue</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bl>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ind w:firstLine="555"/>
        <w:jc w:val="both"/>
        <w:rPr>
          <w:sz w:val="20"/>
          <w:szCs w:val="20"/>
        </w:rPr>
      </w:pPr>
      <w:r>
        <w:rPr>
          <w:sz w:val="20"/>
          <w:szCs w:val="20"/>
        </w:rPr>
        <w:t xml:space="preserve">Net interest expense of $15.0 million in the third quarter of fiscal 2022 decreased $1.7 million, or 10.4%, compared to the prior year third quarter, due to the impact of the refinancing of two tranches of senior notes at lower interest rates in the third </w:t>
      </w:r>
      <w:r>
        <w:rPr>
          <w:sz w:val="20"/>
          <w:szCs w:val="20"/>
        </w:rPr>
        <w:t>quarter of the prior year, as well as a lower average level of outstanding debt. See Liquidity and Capital Resources below for additional discussion</w:t>
      </w:r>
      <w:r>
        <w:rPr>
          <w:sz w:val="20"/>
          <w:szCs w:val="20"/>
        </w:rPr>
        <w:t>.</w:t>
      </w:r>
    </w:p>
    <w:p w:rsidR="00000000" w:rsidRDefault="00A749A6">
      <w:pPr>
        <w:pStyle w:val="a3"/>
        <w:spacing w:before="0" w:beforeAutospacing="0" w:after="0" w:afterAutospacing="0"/>
        <w:jc w:val="center"/>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2</w:t>
      </w:r>
      <w:r>
        <w:rPr>
          <w:sz w:val="20"/>
          <w:szCs w:val="20"/>
        </w:rPr>
        <w:t>9</w:t>
      </w:r>
    </w:p>
    <w:p w:rsidR="00000000" w:rsidRDefault="00A749A6">
      <w:pPr>
        <w:rPr>
          <w:rFonts w:eastAsia="Times New Roman"/>
        </w:rPr>
      </w:pPr>
      <w:r>
        <w:rPr>
          <w:rFonts w:eastAsia="Times New Roman"/>
        </w:rPr>
        <w:pict>
          <v:rect id="_x0000_i1057" style="width:0;height:1.5pt" o:hralign="center" o:hrstd="t" o:hr="t" fillcolor="#a0a0a0" stroked="f"/>
        </w:pict>
      </w:r>
    </w:p>
    <w:p w:rsidR="00000000" w:rsidRDefault="00A749A6">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360" w:beforeAutospacing="0" w:after="0" w:afterAutospacing="0"/>
        <w:jc w:val="both"/>
        <w:rPr>
          <w:sz w:val="20"/>
          <w:szCs w:val="20"/>
        </w:rPr>
      </w:pPr>
      <w:r>
        <w:rPr>
          <w:i/>
          <w:iCs/>
          <w:sz w:val="20"/>
          <w:szCs w:val="20"/>
        </w:rPr>
        <w:t>Loss on Debt Extinguishmen</w:t>
      </w:r>
      <w:r>
        <w:rPr>
          <w:i/>
          <w:iCs/>
          <w:sz w:val="20"/>
          <w:szCs w:val="20"/>
        </w:rPr>
        <w:t>t</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ind w:firstLine="555"/>
        <w:jc w:val="both"/>
        <w:rPr>
          <w:sz w:val="20"/>
          <w:szCs w:val="20"/>
        </w:rPr>
      </w:pPr>
      <w:r>
        <w:rPr>
          <w:sz w:val="20"/>
          <w:szCs w:val="20"/>
        </w:rPr>
        <w:t>On May 24, 2021, we repurchased, satisfied and discharged all of our previously outstanding 2024 Senior Notes and 2025 Senior Notes with net proceeds from the issuance of the 2031 Senior Notes and borrowings under the Revolving Credit Facility, as describe</w:t>
      </w:r>
      <w:r>
        <w:rPr>
          <w:sz w:val="20"/>
          <w:szCs w:val="20"/>
        </w:rPr>
        <w:t>d and defined below, pursuant to a tender offer and redemption. In connection with this tender offer and redemption during the third quarter of fiscal 2021, we recognized a loss on the extinguishment of debt of $16.0 million, consisting of $11.5 million fo</w:t>
      </w:r>
      <w:r>
        <w:rPr>
          <w:sz w:val="20"/>
          <w:szCs w:val="20"/>
        </w:rPr>
        <w:t>r the redemption premium and related fees, as well as the write-off of $4.5 million in unamortized debt origination costs</w:t>
      </w:r>
      <w:r>
        <w:rPr>
          <w:sz w:val="20"/>
          <w:szCs w:val="20"/>
        </w:rPr>
        <w:t>.</w:t>
      </w:r>
    </w:p>
    <w:p w:rsidR="00000000" w:rsidRDefault="00A749A6">
      <w:pPr>
        <w:pStyle w:val="a3"/>
        <w:spacing w:before="360" w:beforeAutospacing="0" w:after="0" w:afterAutospacing="0"/>
        <w:jc w:val="both"/>
        <w:rPr>
          <w:sz w:val="20"/>
          <w:szCs w:val="20"/>
        </w:rPr>
      </w:pPr>
      <w:r>
        <w:rPr>
          <w:i/>
          <w:iCs/>
          <w:sz w:val="20"/>
          <w:szCs w:val="20"/>
        </w:rPr>
        <w:t>EBITDA and Adjusted EBITD</w:t>
      </w:r>
      <w:r>
        <w:rPr>
          <w:i/>
          <w:iCs/>
          <w:sz w:val="20"/>
          <w:szCs w:val="20"/>
        </w:rPr>
        <w:t>A</w:t>
      </w:r>
    </w:p>
    <w:p w:rsidR="00000000" w:rsidRDefault="00A749A6">
      <w:pPr>
        <w:pStyle w:val="a3"/>
        <w:spacing w:before="120" w:beforeAutospacing="0" w:after="0" w:afterAutospacing="0"/>
        <w:ind w:firstLine="555"/>
        <w:jc w:val="both"/>
        <w:rPr>
          <w:sz w:val="20"/>
          <w:szCs w:val="20"/>
        </w:rPr>
      </w:pPr>
      <w:r>
        <w:rPr>
          <w:sz w:val="20"/>
          <w:szCs w:val="20"/>
        </w:rPr>
        <w:t>EBITDA represents net income before deducting interest expense, income taxes, depreciation and amortizatio</w:t>
      </w:r>
      <w:r>
        <w:rPr>
          <w:sz w:val="20"/>
          <w:szCs w:val="20"/>
        </w:rPr>
        <w:t>n. Adjusted EBITDA represents EBITDA excluding the unrealized net gain or loss on mark-to-market activity for derivative instruments and other items, as applicable, as provided in the table below. Our management uses EBITDA and Adjusted EBITDA as supplemen</w:t>
      </w:r>
      <w:r>
        <w:rPr>
          <w:sz w:val="20"/>
          <w:szCs w:val="20"/>
        </w:rPr>
        <w:t xml:space="preserve">tal measures of operating performance and we are including them because we believe that they provide our investors and industry analysts with additional information that we determined is useful to evaluate our operating results. EBITDA and Adjusted EBITDA </w:t>
      </w:r>
      <w:r>
        <w:rPr>
          <w:sz w:val="20"/>
          <w:szCs w:val="20"/>
        </w:rPr>
        <w:t>are not recognized terms under US GAAP and should not be considered as an alternative to net income or net cash provided by operating activities determined in accordance with US GAAP. Because EBITDA and Adjusted EBITDA as determined by us excludes some, bu</w:t>
      </w:r>
      <w:r>
        <w:rPr>
          <w:sz w:val="20"/>
          <w:szCs w:val="20"/>
        </w:rPr>
        <w:t>t not all, items that affect net income, they may not be comparable to EBITDA and Adjusted EBITDA or similarly titled measures used by other companies</w:t>
      </w:r>
      <w:r>
        <w:rPr>
          <w:sz w:val="20"/>
          <w:szCs w:val="20"/>
        </w:rPr>
        <w:t>.</w:t>
      </w:r>
    </w:p>
    <w:p w:rsidR="00000000" w:rsidRDefault="00A749A6">
      <w:pPr>
        <w:pStyle w:val="a3"/>
        <w:spacing w:before="240" w:beforeAutospacing="0" w:after="0" w:afterAutospacing="0"/>
        <w:ind w:firstLine="555"/>
        <w:jc w:val="both"/>
        <w:rPr>
          <w:sz w:val="20"/>
          <w:szCs w:val="20"/>
        </w:rPr>
      </w:pPr>
      <w:r>
        <w:rPr>
          <w:sz w:val="20"/>
          <w:szCs w:val="20"/>
        </w:rPr>
        <w:t>The following table sets forth our calculations of EBITDA and Adjusted EBITDA</w:t>
      </w:r>
      <w:r>
        <w:rPr>
          <w:sz w:val="20"/>
          <w:szCs w:val="20"/>
        </w:rPr>
        <w:t>:</w:t>
      </w:r>
    </w:p>
    <w:p w:rsidR="00000000" w:rsidRDefault="00A749A6">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42"/>
        <w:gridCol w:w="142"/>
        <w:gridCol w:w="160"/>
        <w:gridCol w:w="1144"/>
        <w:gridCol w:w="127"/>
        <w:gridCol w:w="143"/>
        <w:gridCol w:w="160"/>
        <w:gridCol w:w="1146"/>
        <w:gridCol w:w="142"/>
      </w:tblGrid>
      <w:tr w:rsidR="00000000">
        <w:trPr>
          <w:tblCellSpacing w:w="15" w:type="dxa"/>
        </w:trPr>
        <w:tc>
          <w:tcPr>
            <w:tcW w:w="3199" w:type="pct"/>
            <w:vAlign w:val="center"/>
            <w:hideMark/>
          </w:tcPr>
          <w:p w:rsidR="00000000" w:rsidRDefault="00A749A6">
            <w:pPr>
              <w:rPr>
                <w:sz w:val="20"/>
                <w:szCs w:val="20"/>
              </w:rPr>
            </w:pPr>
          </w:p>
        </w:tc>
        <w:tc>
          <w:tcPr>
            <w:tcW w:w="87"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712"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87"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713"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26</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Net los</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(2,53</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(26,02</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Add</w:t>
            </w: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Provision for income taxe</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27</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17</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Interest expense, ne</w:t>
            </w:r>
            <w:r>
              <w:rPr>
                <w:sz w:val="20"/>
                <w:szCs w:val="20"/>
              </w:rPr>
              <w:t>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15,00</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16,73</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Depreciation and amortizatio</w:t>
            </w:r>
            <w:r>
              <w:rPr>
                <w:sz w:val="20"/>
                <w:szCs w:val="20"/>
              </w:rPr>
              <w:t>n</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14,00</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27,25</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EBITD</w:t>
            </w:r>
            <w:r>
              <w:rPr>
                <w:sz w:val="20"/>
                <w:szCs w:val="20"/>
              </w:rPr>
              <w:t>A</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26,74</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18,14</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Unrealized non-cash losses (gains) on changes in fair value of derivative</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92</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(11,13</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Equity in earnings of unconsolidated affiliate</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87</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11</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Pension settlement charg</w:t>
            </w:r>
            <w:r>
              <w:rPr>
                <w:sz w:val="20"/>
                <w:szCs w:val="20"/>
              </w:rPr>
              <w:t>e</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63</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14</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Loss on debt extinguishmen</w:t>
            </w:r>
            <w:r>
              <w:rPr>
                <w:sz w:val="20"/>
                <w:szCs w:val="20"/>
              </w:rPr>
              <w:t>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16,02</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Adjusted EBITD</w:t>
            </w:r>
            <w:r>
              <w:rPr>
                <w:sz w:val="20"/>
                <w:szCs w:val="20"/>
              </w:rPr>
              <w:t>A</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29,18</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23,29</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bl>
    <w:p w:rsidR="00000000" w:rsidRDefault="00A749A6">
      <w:pPr>
        <w:pStyle w:val="a3"/>
        <w:spacing w:before="240" w:beforeAutospacing="0" w:after="0" w:afterAutospacing="0"/>
        <w:ind w:firstLine="555"/>
        <w:jc w:val="both"/>
        <w:rPr>
          <w:sz w:val="20"/>
          <w:szCs w:val="20"/>
        </w:rPr>
      </w:pPr>
      <w:r>
        <w:rPr>
          <w:sz w:val="20"/>
          <w:szCs w:val="20"/>
        </w:rPr>
        <w:t>We also reference gross margins, computed as revenues less cost of products sold as those amounts are reported on the condensed consolidated financial statements. Our management uses gross margin as a supplemental measure of operating performance and we ar</w:t>
      </w:r>
      <w:r>
        <w:rPr>
          <w:sz w:val="20"/>
          <w:szCs w:val="20"/>
        </w:rPr>
        <w:t>e including it as we believe that it provides our investors and industry analysts with additional information that we determined is useful to evaluate our operating results. As cost of products sold does not include depreciation and amortization expense, t</w:t>
      </w:r>
      <w:r>
        <w:rPr>
          <w:sz w:val="20"/>
          <w:szCs w:val="20"/>
        </w:rPr>
        <w:t>he gross margin we reference is considered a non-GAAP financial measure</w:t>
      </w:r>
      <w:r>
        <w:rPr>
          <w:sz w:val="20"/>
          <w:szCs w:val="20"/>
        </w:rPr>
        <w:t>.</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360" w:beforeAutospacing="0" w:after="0" w:afterAutospacing="0"/>
        <w:rPr>
          <w:sz w:val="20"/>
          <w:szCs w:val="20"/>
        </w:rPr>
      </w:pPr>
      <w:r>
        <w:rPr>
          <w:b/>
          <w:bCs/>
          <w:sz w:val="20"/>
          <w:szCs w:val="20"/>
        </w:rPr>
        <w:t>Nine Months Ended June 25, 2022 Compared to Nine Months Ended June 26, 202</w:t>
      </w:r>
      <w:r>
        <w:rPr>
          <w:b/>
          <w:bCs/>
          <w:sz w:val="20"/>
          <w:szCs w:val="20"/>
        </w:rPr>
        <w:t>1</w:t>
      </w:r>
    </w:p>
    <w:p w:rsidR="00000000" w:rsidRDefault="00A749A6">
      <w:pPr>
        <w:pStyle w:val="a3"/>
        <w:spacing w:before="120" w:beforeAutospacing="0" w:after="0" w:afterAutospacing="0"/>
        <w:jc w:val="both"/>
        <w:rPr>
          <w:sz w:val="20"/>
          <w:szCs w:val="20"/>
        </w:rPr>
      </w:pPr>
      <w:r>
        <w:rPr>
          <w:i/>
          <w:iCs/>
          <w:sz w:val="20"/>
          <w:szCs w:val="20"/>
        </w:rPr>
        <w:t>Revenue</w:t>
      </w:r>
      <w:r>
        <w:rPr>
          <w:i/>
          <w:iCs/>
          <w:sz w:val="20"/>
          <w:szCs w:val="20"/>
        </w:rPr>
        <w:t>s</w:t>
      </w:r>
    </w:p>
    <w:p w:rsidR="00000000" w:rsidRDefault="00A749A6">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98"/>
        <w:gridCol w:w="110"/>
        <w:gridCol w:w="160"/>
        <w:gridCol w:w="860"/>
        <w:gridCol w:w="110"/>
        <w:gridCol w:w="110"/>
        <w:gridCol w:w="160"/>
        <w:gridCol w:w="860"/>
        <w:gridCol w:w="110"/>
        <w:gridCol w:w="110"/>
        <w:gridCol w:w="160"/>
        <w:gridCol w:w="710"/>
        <w:gridCol w:w="127"/>
        <w:gridCol w:w="110"/>
        <w:gridCol w:w="113"/>
        <w:gridCol w:w="689"/>
        <w:gridCol w:w="309"/>
      </w:tblGrid>
      <w:tr w:rsidR="00000000">
        <w:trPr>
          <w:tblCellSpacing w:w="15" w:type="dxa"/>
        </w:trPr>
        <w:tc>
          <w:tcPr>
            <w:tcW w:w="2500" w:type="pct"/>
            <w:vAlign w:val="center"/>
            <w:hideMark/>
          </w:tcPr>
          <w:p w:rsidR="00000000" w:rsidRDefault="00A749A6">
            <w:pPr>
              <w:rPr>
                <w:sz w:val="20"/>
                <w:szCs w:val="20"/>
              </w:rPr>
            </w:pPr>
          </w:p>
        </w:tc>
        <w:tc>
          <w:tcPr>
            <w:tcW w:w="55"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3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5"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52"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5"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52"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5"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44"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rPr>
                <w:sz w:val="16"/>
                <w:szCs w:val="16"/>
              </w:rPr>
            </w:pPr>
            <w:r>
              <w:rPr>
                <w:b/>
                <w:bCs/>
                <w:sz w:val="16"/>
                <w:szCs w:val="16"/>
              </w:rPr>
              <w:t>(Dollars and gallons in thousands</w:t>
            </w:r>
            <w:r>
              <w:rPr>
                <w:b/>
                <w:bCs/>
                <w:sz w:val="16"/>
                <w:szCs w:val="16"/>
              </w:rPr>
              <w:t>)</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Nine Months Ende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26</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(Decrease</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(Decrease</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Revenue</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center"/>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Propan</w:t>
            </w:r>
            <w:r>
              <w:rPr>
                <w:sz w:val="20"/>
                <w:szCs w:val="20"/>
              </w:rPr>
              <w:t>e</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1,108,57</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958,64</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149,93</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15.</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83,74</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59,07</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24,66</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41.</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Natural gas and electricit</w:t>
            </w:r>
            <w:r>
              <w:rPr>
                <w:sz w:val="20"/>
                <w:szCs w:val="20"/>
              </w:rPr>
              <w:t>y</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31,16</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23,46</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7,70</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32.</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All othe</w:t>
            </w:r>
            <w:r>
              <w:rPr>
                <w:sz w:val="20"/>
                <w:szCs w:val="20"/>
              </w:rPr>
              <w:t>r</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40,35</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39,33</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1,01</w:t>
            </w:r>
            <w:r>
              <w:rPr>
                <w:sz w:val="20"/>
                <w:szCs w:val="20"/>
              </w:rPr>
              <w:t>9</w:t>
            </w:r>
          </w:p>
        </w:tc>
        <w:tc>
          <w:tcPr>
            <w:tcW w:w="0" w:type="auto"/>
            <w:noWrap/>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ind w:left="400"/>
              <w:rPr>
                <w:sz w:val="20"/>
                <w:szCs w:val="20"/>
              </w:rPr>
            </w:pPr>
            <w:r>
              <w:rPr>
                <w:sz w:val="20"/>
                <w:szCs w:val="20"/>
              </w:rPr>
              <w:t>Total revenue</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1,263,83</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1,080,51</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183,32</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17.</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Retail gallons sol</w:t>
            </w:r>
            <w:r>
              <w:rPr>
                <w:sz w:val="20"/>
                <w:szCs w:val="20"/>
              </w:rPr>
              <w:t>d</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Propan</w:t>
            </w:r>
            <w:r>
              <w:rPr>
                <w:sz w:val="20"/>
                <w:szCs w:val="20"/>
              </w:rPr>
              <w:t>e</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339,95</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357,44</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(17,48</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20,47</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21,30</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(82</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r>
              <w:rPr>
                <w:sz w:val="20"/>
                <w:szCs w:val="20"/>
              </w:rPr>
              <w:t>%</w:t>
            </w:r>
          </w:p>
        </w:tc>
      </w:tr>
    </w:tbl>
    <w:p w:rsidR="00000000" w:rsidRDefault="00A749A6">
      <w:pPr>
        <w:pStyle w:val="a3"/>
        <w:spacing w:before="0" w:beforeAutospacing="0" w:after="0" w:afterAutospacing="0"/>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3</w:t>
      </w:r>
      <w:r>
        <w:rPr>
          <w:sz w:val="20"/>
          <w:szCs w:val="20"/>
        </w:rPr>
        <w:t>0</w:t>
      </w:r>
    </w:p>
    <w:p w:rsidR="00000000" w:rsidRDefault="00A749A6">
      <w:pPr>
        <w:rPr>
          <w:rFonts w:eastAsia="Times New Roman"/>
        </w:rPr>
      </w:pPr>
      <w:r>
        <w:rPr>
          <w:rFonts w:eastAsia="Times New Roman"/>
        </w:rPr>
        <w:pict>
          <v:rect id="_x0000_i1058" style="width:0;height:1.5pt" o:hralign="center" o:hrstd="t" o:hr="t" fillcolor="#a0a0a0" stroked="f"/>
        </w:pict>
      </w:r>
    </w:p>
    <w:p w:rsidR="00000000" w:rsidRDefault="00A749A6">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0" w:beforeAutospacing="0" w:after="0" w:afterAutospacing="0"/>
        <w:ind w:firstLine="555"/>
        <w:jc w:val="both"/>
        <w:rPr>
          <w:sz w:val="20"/>
          <w:szCs w:val="20"/>
        </w:rPr>
      </w:pPr>
      <w:r>
        <w:rPr>
          <w:sz w:val="20"/>
          <w:szCs w:val="20"/>
        </w:rPr>
        <w:t> </w:t>
      </w:r>
    </w:p>
    <w:p w:rsidR="00000000" w:rsidRDefault="00A749A6">
      <w:pPr>
        <w:pStyle w:val="a3"/>
        <w:spacing w:before="0" w:beforeAutospacing="0" w:after="0" w:afterAutospacing="0"/>
        <w:ind w:firstLine="555"/>
        <w:jc w:val="both"/>
        <w:rPr>
          <w:sz w:val="20"/>
          <w:szCs w:val="20"/>
        </w:rPr>
      </w:pPr>
      <w:r>
        <w:rPr>
          <w:sz w:val="20"/>
          <w:szCs w:val="20"/>
        </w:rPr>
        <w:t>Average temperatures (as measured in heating degree days) across all of our service territories for the first nine months of fiscal 2022 were 10% warmer than normal and 1% warmer than the prior year period. The weather during the first nine months of fisca</w:t>
      </w:r>
      <w:r>
        <w:rPr>
          <w:sz w:val="20"/>
          <w:szCs w:val="20"/>
        </w:rPr>
        <w:t>l 2022 was characterized by widespread warm temperatures throughout most of our service territories during the critical month of December which lasted into early January. While a cooling trend arrived late in January, warmer weather returned in mid-Februar</w:t>
      </w:r>
      <w:r>
        <w:rPr>
          <w:sz w:val="20"/>
          <w:szCs w:val="20"/>
        </w:rPr>
        <w:t>y. The unseasonably warm and erratic weather pattern throughout the majority of fiscal 2022 led to inconsistent heat-related demand, while elevated selling prices due to significantly higher wholesale costs contributed to customer conservation. In addition</w:t>
      </w:r>
      <w:r>
        <w:rPr>
          <w:sz w:val="20"/>
          <w:szCs w:val="20"/>
        </w:rPr>
        <w:t>, as more people continued to return to work in a post-COVID environment and outdoor heating needs moderated to more traditional pre-pandemic levels, resale volumes were negatively affected</w:t>
      </w:r>
      <w:r>
        <w:rPr>
          <w:sz w:val="20"/>
          <w:szCs w:val="20"/>
        </w:rPr>
        <w:t>.</w:t>
      </w:r>
    </w:p>
    <w:p w:rsidR="00000000" w:rsidRDefault="00A749A6">
      <w:pPr>
        <w:pStyle w:val="a3"/>
        <w:spacing w:before="240" w:beforeAutospacing="0" w:after="0" w:afterAutospacing="0"/>
        <w:ind w:firstLine="555"/>
        <w:jc w:val="both"/>
        <w:rPr>
          <w:sz w:val="20"/>
          <w:szCs w:val="20"/>
        </w:rPr>
      </w:pPr>
      <w:r>
        <w:rPr>
          <w:sz w:val="20"/>
          <w:szCs w:val="20"/>
        </w:rPr>
        <w:t xml:space="preserve">Revenues from the distribution of propane and related activities </w:t>
      </w:r>
      <w:r>
        <w:rPr>
          <w:sz w:val="20"/>
          <w:szCs w:val="20"/>
        </w:rPr>
        <w:t>of $1,108.6 million increased $149.9 million, or 15.6%, compared to the prior year period, primarily due to higher average retail selling prices associated with higher wholesale costs, offset to an extent by lower volumes sold. Average propane selling pric</w:t>
      </w:r>
      <w:r>
        <w:rPr>
          <w:sz w:val="20"/>
          <w:szCs w:val="20"/>
        </w:rPr>
        <w:t>es increased 23.2% compared to the prior year period, reflecting a rise in average wholesale costs, resulting in a $205.0 million increase in revenues. Retail propane gallons sold decreased 17.5 million gallons, or 4.9%, compared to the prior year, resulti</w:t>
      </w:r>
      <w:r>
        <w:rPr>
          <w:sz w:val="20"/>
          <w:szCs w:val="20"/>
        </w:rPr>
        <w:t>ng in a $45.5 million decrease in revenues. Included within the propane segment are revenues from other propane activities, which decreased $9.6 million primarily due to a lower notional amount of hedging contracts used in risk management activities that w</w:t>
      </w:r>
      <w:r>
        <w:rPr>
          <w:sz w:val="20"/>
          <w:szCs w:val="20"/>
        </w:rPr>
        <w:t>ere settled physically</w:t>
      </w:r>
      <w:r>
        <w:rPr>
          <w:sz w:val="20"/>
          <w:szCs w:val="20"/>
        </w:rPr>
        <w:t>.</w:t>
      </w:r>
      <w:r>
        <w:rPr>
          <w:sz w:val="20"/>
          <w:szCs w:val="20"/>
        </w:rPr>
        <w:t xml:space="preserve"> </w:t>
      </w:r>
    </w:p>
    <w:p w:rsidR="00000000" w:rsidRDefault="00A749A6">
      <w:pPr>
        <w:pStyle w:val="a3"/>
        <w:spacing w:before="240" w:beforeAutospacing="0" w:after="0" w:afterAutospacing="0"/>
        <w:ind w:firstLine="555"/>
        <w:jc w:val="both"/>
        <w:rPr>
          <w:sz w:val="20"/>
          <w:szCs w:val="20"/>
        </w:rPr>
      </w:pPr>
      <w:r>
        <w:rPr>
          <w:sz w:val="20"/>
          <w:szCs w:val="20"/>
        </w:rPr>
        <w:t>Revenues from the distribution of fuel oil and refined fuels of $83.7 million increased $24.7 million, or 41.8%, compared to the prior year period, primarily due to higher average selling prices associated with higher wholesale cos</w:t>
      </w:r>
      <w:r>
        <w:rPr>
          <w:sz w:val="20"/>
          <w:szCs w:val="20"/>
        </w:rPr>
        <w:t xml:space="preserve">ts, partially offset by lower volumes sold. Average selling prices for fuel oil and refined fuels increased 47.5%, resulting in a $26.9 million increase in revenues. Fuel oil and refined fuels volumes sold decreased 0.8 million gallons, or 3.9%, resulting </w:t>
      </w:r>
      <w:r>
        <w:rPr>
          <w:sz w:val="20"/>
          <w:szCs w:val="20"/>
        </w:rPr>
        <w:t>in a $2.2 million decrease in revenues</w:t>
      </w:r>
      <w:r>
        <w:rPr>
          <w:sz w:val="20"/>
          <w:szCs w:val="20"/>
        </w:rPr>
        <w:t>.</w:t>
      </w:r>
      <w:r>
        <w:rPr>
          <w:sz w:val="20"/>
          <w:szCs w:val="20"/>
        </w:rPr>
        <w:t xml:space="preserve"> </w:t>
      </w:r>
    </w:p>
    <w:p w:rsidR="00000000" w:rsidRDefault="00A749A6">
      <w:pPr>
        <w:pStyle w:val="a3"/>
        <w:spacing w:before="240" w:beforeAutospacing="0" w:after="0" w:afterAutospacing="0"/>
        <w:ind w:firstLine="555"/>
        <w:jc w:val="both"/>
        <w:rPr>
          <w:sz w:val="20"/>
          <w:szCs w:val="20"/>
        </w:rPr>
      </w:pPr>
      <w:r>
        <w:rPr>
          <w:sz w:val="20"/>
          <w:szCs w:val="20"/>
        </w:rPr>
        <w:t xml:space="preserve">Revenues in our natural gas and electricity segment of $31.2 million were $7.7 million, or 32.8%, higher than the prior year period, resulting from higher average selling prices, reflecting higher average wholesale </w:t>
      </w:r>
      <w:r>
        <w:rPr>
          <w:sz w:val="20"/>
          <w:szCs w:val="20"/>
        </w:rPr>
        <w:t>costs, offset to an extent by lower volumes sold, primarily due to the impact of warmer temperatures on customer demand and a lower customer base</w:t>
      </w:r>
      <w:r>
        <w:rPr>
          <w:sz w:val="20"/>
          <w:szCs w:val="20"/>
        </w:rPr>
        <w:t>.</w:t>
      </w:r>
    </w:p>
    <w:p w:rsidR="00000000" w:rsidRDefault="00A749A6">
      <w:pPr>
        <w:pStyle w:val="a3"/>
        <w:spacing w:before="360" w:beforeAutospacing="0" w:after="0" w:afterAutospacing="0"/>
        <w:jc w:val="both"/>
        <w:rPr>
          <w:sz w:val="20"/>
          <w:szCs w:val="20"/>
        </w:rPr>
      </w:pPr>
      <w:r>
        <w:rPr>
          <w:i/>
          <w:iCs/>
          <w:sz w:val="20"/>
          <w:szCs w:val="20"/>
        </w:rPr>
        <w:t>Cost of Products Sol</w:t>
      </w:r>
      <w:r>
        <w:rPr>
          <w:i/>
          <w:iCs/>
          <w:sz w:val="20"/>
          <w:szCs w:val="20"/>
        </w:rPr>
        <w:t>d</w:t>
      </w:r>
    </w:p>
    <w:p w:rsidR="00000000" w:rsidRDefault="00A749A6">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74"/>
        <w:gridCol w:w="110"/>
        <w:gridCol w:w="160"/>
        <w:gridCol w:w="710"/>
        <w:gridCol w:w="227"/>
        <w:gridCol w:w="110"/>
        <w:gridCol w:w="160"/>
        <w:gridCol w:w="710"/>
        <w:gridCol w:w="227"/>
        <w:gridCol w:w="115"/>
        <w:gridCol w:w="160"/>
        <w:gridCol w:w="710"/>
        <w:gridCol w:w="110"/>
        <w:gridCol w:w="115"/>
        <w:gridCol w:w="112"/>
        <w:gridCol w:w="554"/>
        <w:gridCol w:w="242"/>
      </w:tblGrid>
      <w:tr w:rsidR="00000000">
        <w:trPr>
          <w:tblCellSpacing w:w="15" w:type="dxa"/>
        </w:trPr>
        <w:tc>
          <w:tcPr>
            <w:tcW w:w="2485" w:type="pct"/>
            <w:vAlign w:val="center"/>
            <w:hideMark/>
          </w:tcPr>
          <w:p w:rsidR="00000000" w:rsidRDefault="00A749A6">
            <w:pPr>
              <w:rPr>
                <w:sz w:val="20"/>
                <w:szCs w:val="20"/>
              </w:rPr>
            </w:pPr>
          </w:p>
        </w:tc>
        <w:tc>
          <w:tcPr>
            <w:tcW w:w="5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73"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96"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45"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95"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Nine Months Ende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26</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Cost of products sol</w:t>
            </w:r>
            <w:r>
              <w:rPr>
                <w:sz w:val="20"/>
                <w:szCs w:val="20"/>
              </w:rPr>
              <w:t>d</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Propan</w:t>
            </w:r>
            <w:r>
              <w:rPr>
                <w:sz w:val="20"/>
                <w:szCs w:val="20"/>
              </w:rPr>
              <w:t>e</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484,52</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358,29</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126,23</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35.</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Fuel oil and refined fuel</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59,19</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35,20</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23,99</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68.</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Natural gas and electricit</w:t>
            </w:r>
            <w:r>
              <w:rPr>
                <w:sz w:val="20"/>
                <w:szCs w:val="20"/>
              </w:rPr>
              <w:t>y</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20,81</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12,85</w:t>
            </w:r>
            <w:r>
              <w:rPr>
                <w:sz w:val="20"/>
                <w:szCs w:val="20"/>
              </w:rPr>
              <w:t>8</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7,96</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61.</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All othe</w:t>
            </w:r>
            <w:r>
              <w:rPr>
                <w:sz w:val="20"/>
                <w:szCs w:val="20"/>
              </w:rPr>
              <w:t>r</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11,76</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11,64</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11</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ind w:left="400"/>
              <w:rPr>
                <w:sz w:val="20"/>
                <w:szCs w:val="20"/>
              </w:rPr>
            </w:pPr>
            <w:r>
              <w:rPr>
                <w:sz w:val="20"/>
                <w:szCs w:val="20"/>
              </w:rPr>
              <w:t>Total cost of products sol</w:t>
            </w:r>
            <w:r>
              <w:rPr>
                <w:sz w:val="20"/>
                <w:szCs w:val="20"/>
              </w:rPr>
              <w:t>d</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576,29</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418,00</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158,29</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2"/>
                <w:szCs w:val="22"/>
              </w:rPr>
            </w:pPr>
            <w:r>
              <w:rPr>
                <w:sz w:val="22"/>
                <w:szCs w:val="22"/>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37.</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As a percent of total revenue</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45.</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38.</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bl>
    <w:p w:rsidR="00000000" w:rsidRDefault="00A749A6">
      <w:pPr>
        <w:pStyle w:val="a3"/>
        <w:spacing w:before="0" w:beforeAutospacing="0" w:after="0" w:afterAutospacing="0"/>
        <w:ind w:firstLine="555"/>
        <w:jc w:val="both"/>
        <w:rPr>
          <w:sz w:val="20"/>
          <w:szCs w:val="20"/>
        </w:rPr>
      </w:pPr>
      <w:r>
        <w:rPr>
          <w:sz w:val="20"/>
          <w:szCs w:val="20"/>
        </w:rPr>
        <w:t> </w:t>
      </w:r>
    </w:p>
    <w:p w:rsidR="00000000" w:rsidRDefault="00A749A6">
      <w:pPr>
        <w:pStyle w:val="a3"/>
        <w:spacing w:before="0" w:beforeAutospacing="0" w:after="0" w:afterAutospacing="0"/>
        <w:ind w:firstLine="555"/>
        <w:jc w:val="both"/>
        <w:rPr>
          <w:sz w:val="20"/>
          <w:szCs w:val="20"/>
        </w:rPr>
      </w:pPr>
      <w:r>
        <w:rPr>
          <w:sz w:val="20"/>
          <w:szCs w:val="20"/>
        </w:rPr>
        <w:t>In the commodities markets, average posted propane prices (basis Mont Belvieu, Texas) and fuel oil prices in the first nine months of fiscal 2022 were 62.2% and 88.1% higher than the prior year period, respectively. The net change in the fair value of deri</w:t>
      </w:r>
      <w:r>
        <w:rPr>
          <w:sz w:val="20"/>
          <w:szCs w:val="20"/>
        </w:rPr>
        <w:t>vative instruments resulted in a $1.5 million unrealized non-cash loss and a $17.6 million unrealized non-cash gain in the first nine months of fiscal 2022 and 2021, respectively, resulting in an increase of $19.1 million in cost of products sold year-over</w:t>
      </w:r>
      <w:r>
        <w:rPr>
          <w:sz w:val="20"/>
          <w:szCs w:val="20"/>
        </w:rPr>
        <w:t>-year, all of which was reported within the propane segment. These unrealized mark-to-market adjustments are excluded from Adjusted EBITDA for both periods</w:t>
      </w:r>
      <w:r>
        <w:rPr>
          <w:sz w:val="20"/>
          <w:szCs w:val="20"/>
        </w:rPr>
        <w:t>.</w:t>
      </w:r>
    </w:p>
    <w:p w:rsidR="00000000" w:rsidRDefault="00A749A6">
      <w:pPr>
        <w:pStyle w:val="a3"/>
        <w:spacing w:before="240" w:beforeAutospacing="0" w:after="0" w:afterAutospacing="0"/>
        <w:ind w:firstLine="555"/>
        <w:jc w:val="both"/>
        <w:rPr>
          <w:sz w:val="20"/>
          <w:szCs w:val="20"/>
        </w:rPr>
      </w:pPr>
      <w:r>
        <w:rPr>
          <w:sz w:val="20"/>
          <w:szCs w:val="20"/>
        </w:rPr>
        <w:t xml:space="preserve">Cost of products sold associated with the distribution of propane and related activities of $484.5 </w:t>
      </w:r>
      <w:r>
        <w:rPr>
          <w:sz w:val="20"/>
          <w:szCs w:val="20"/>
        </w:rPr>
        <w:t>million increased $126.2 million, or 35.2%, compared to the prior year period. Higher average wholesale costs contributed to a $135.6 million increase in cost of products sold, while lower volumes sold contributed to a $17.9 million decrease. Included with</w:t>
      </w:r>
      <w:r>
        <w:rPr>
          <w:sz w:val="20"/>
          <w:szCs w:val="20"/>
        </w:rPr>
        <w:t>in the propane segment are costs from other propane activities which decreased $10.6 million compared to the prior year due to a lower notional amount of hedging contracts used in risk management activities that were settled physically, coupled with the ne</w:t>
      </w:r>
      <w:r>
        <w:rPr>
          <w:sz w:val="20"/>
          <w:szCs w:val="20"/>
        </w:rPr>
        <w:t>t increase in cost of products sold of $19.1 million resulting from the mark-to-market adjustments on derivative instruments in both periods discussed above</w:t>
      </w:r>
      <w:r>
        <w:rPr>
          <w:sz w:val="20"/>
          <w:szCs w:val="20"/>
        </w:rPr>
        <w:t>.</w:t>
      </w:r>
    </w:p>
    <w:p w:rsidR="00000000" w:rsidRDefault="00A749A6">
      <w:pPr>
        <w:pStyle w:val="a3"/>
        <w:spacing w:before="240" w:beforeAutospacing="0" w:after="0" w:afterAutospacing="0"/>
        <w:ind w:firstLine="555"/>
        <w:jc w:val="both"/>
        <w:rPr>
          <w:sz w:val="20"/>
          <w:szCs w:val="20"/>
        </w:rPr>
      </w:pPr>
      <w:r>
        <w:rPr>
          <w:sz w:val="20"/>
          <w:szCs w:val="20"/>
        </w:rPr>
        <w:t xml:space="preserve">Cost of products sold associated with our fuel oil and refined fuels segment of $59.2 million increased $24.0 million, or 68.2%, compared to the prior year period. Higher average wholesale costs contributed to an increase in cost of products sold of $25.4 </w:t>
      </w:r>
      <w:r>
        <w:rPr>
          <w:sz w:val="20"/>
          <w:szCs w:val="20"/>
        </w:rPr>
        <w:t>million, which was partially offset by the $1.4 million impact from lower volumes sold</w:t>
      </w:r>
      <w:r>
        <w:rPr>
          <w:sz w:val="20"/>
          <w:szCs w:val="20"/>
        </w:rPr>
        <w:t>.</w:t>
      </w:r>
      <w:r>
        <w:rPr>
          <w:sz w:val="20"/>
          <w:szCs w:val="20"/>
        </w:rPr>
        <w:t xml:space="preserve"> </w:t>
      </w:r>
    </w:p>
    <w:p w:rsidR="00000000" w:rsidRDefault="00A749A6">
      <w:pPr>
        <w:pStyle w:val="a3"/>
        <w:spacing w:before="0" w:beforeAutospacing="0" w:after="0" w:afterAutospacing="0"/>
        <w:jc w:val="center"/>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3</w:t>
      </w:r>
      <w:r>
        <w:rPr>
          <w:sz w:val="20"/>
          <w:szCs w:val="20"/>
        </w:rPr>
        <w:t>1</w:t>
      </w:r>
    </w:p>
    <w:p w:rsidR="00000000" w:rsidRDefault="00A749A6">
      <w:pPr>
        <w:rPr>
          <w:rFonts w:eastAsia="Times New Roman"/>
        </w:rPr>
      </w:pPr>
      <w:r>
        <w:rPr>
          <w:rFonts w:eastAsia="Times New Roman"/>
        </w:rPr>
        <w:pict>
          <v:rect id="_x0000_i1059" style="width:0;height:1.5pt" o:hralign="center" o:hrstd="t" o:hr="t" fillcolor="#a0a0a0" stroked="f"/>
        </w:pict>
      </w:r>
    </w:p>
    <w:p w:rsidR="00000000" w:rsidRDefault="00A749A6">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240" w:beforeAutospacing="0" w:after="0" w:afterAutospacing="0"/>
        <w:ind w:firstLine="555"/>
        <w:jc w:val="both"/>
        <w:rPr>
          <w:sz w:val="20"/>
          <w:szCs w:val="20"/>
        </w:rPr>
      </w:pPr>
      <w:r>
        <w:rPr>
          <w:sz w:val="20"/>
          <w:szCs w:val="20"/>
        </w:rPr>
        <w:t>Cost of products sold in our natural gas and e</w:t>
      </w:r>
      <w:r>
        <w:rPr>
          <w:sz w:val="20"/>
          <w:szCs w:val="20"/>
        </w:rPr>
        <w:t>lectricity segment of $20.8 million increased $8.0 million, or 61.9%, compared to the prior year period, primarily due to higher natural gas and electricity wholesale costs, partially offset by lower usage</w:t>
      </w:r>
      <w:r>
        <w:rPr>
          <w:sz w:val="20"/>
          <w:szCs w:val="20"/>
        </w:rPr>
        <w:t>.</w:t>
      </w:r>
    </w:p>
    <w:p w:rsidR="00000000" w:rsidRDefault="00A749A6">
      <w:pPr>
        <w:pStyle w:val="a3"/>
        <w:spacing w:before="360" w:beforeAutospacing="0" w:after="0" w:afterAutospacing="0"/>
        <w:rPr>
          <w:sz w:val="20"/>
          <w:szCs w:val="20"/>
        </w:rPr>
      </w:pPr>
      <w:r>
        <w:rPr>
          <w:i/>
          <w:iCs/>
          <w:sz w:val="20"/>
          <w:szCs w:val="20"/>
        </w:rPr>
        <w:t>Operating Expense</w:t>
      </w:r>
      <w:r>
        <w:rPr>
          <w:i/>
          <w:iCs/>
          <w:sz w:val="20"/>
          <w:szCs w:val="20"/>
        </w:rPr>
        <w:t>s</w:t>
      </w:r>
    </w:p>
    <w:p w:rsidR="00000000" w:rsidRDefault="00A749A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6"/>
        <w:gridCol w:w="110"/>
        <w:gridCol w:w="160"/>
        <w:gridCol w:w="710"/>
        <w:gridCol w:w="227"/>
        <w:gridCol w:w="110"/>
        <w:gridCol w:w="160"/>
        <w:gridCol w:w="710"/>
        <w:gridCol w:w="227"/>
        <w:gridCol w:w="110"/>
        <w:gridCol w:w="160"/>
        <w:gridCol w:w="610"/>
        <w:gridCol w:w="110"/>
        <w:gridCol w:w="110"/>
        <w:gridCol w:w="112"/>
        <w:gridCol w:w="642"/>
        <w:gridCol w:w="242"/>
      </w:tblGrid>
      <w:tr w:rsidR="00000000">
        <w:trPr>
          <w:tblCellSpacing w:w="15" w:type="dxa"/>
        </w:trPr>
        <w:tc>
          <w:tcPr>
            <w:tcW w:w="2481" w:type="pct"/>
            <w:vAlign w:val="center"/>
            <w:hideMark/>
          </w:tcPr>
          <w:p w:rsidR="00000000" w:rsidRDefault="00A749A6">
            <w:pPr>
              <w:rPr>
                <w:sz w:val="20"/>
                <w:szCs w:val="20"/>
              </w:rPr>
            </w:pPr>
          </w:p>
        </w:tc>
        <w:tc>
          <w:tcPr>
            <w:tcW w:w="5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73"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96"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45"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0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Nine Months Ende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26</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Operating expense</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334,22</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309,18</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25,04</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8.</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As a percent of total revenue</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26.</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28.</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bl>
    <w:p w:rsidR="00000000" w:rsidRDefault="00A749A6">
      <w:pPr>
        <w:pStyle w:val="a3"/>
        <w:spacing w:before="0" w:beforeAutospacing="0" w:after="0" w:afterAutospacing="0"/>
        <w:ind w:firstLine="555"/>
        <w:jc w:val="both"/>
        <w:rPr>
          <w:sz w:val="20"/>
          <w:szCs w:val="20"/>
        </w:rPr>
      </w:pPr>
      <w:r>
        <w:rPr>
          <w:sz w:val="20"/>
          <w:szCs w:val="20"/>
        </w:rPr>
        <w:t> </w:t>
      </w:r>
    </w:p>
    <w:p w:rsidR="00000000" w:rsidRDefault="00A749A6">
      <w:pPr>
        <w:pStyle w:val="a3"/>
        <w:spacing w:before="0" w:beforeAutospacing="0" w:after="0" w:afterAutospacing="0"/>
        <w:ind w:firstLine="555"/>
        <w:jc w:val="both"/>
        <w:rPr>
          <w:sz w:val="20"/>
          <w:szCs w:val="20"/>
        </w:rPr>
      </w:pPr>
      <w:r>
        <w:rPr>
          <w:sz w:val="20"/>
          <w:szCs w:val="20"/>
        </w:rPr>
        <w:t>Operating expenses of $334.2 million for the first nine months of fiscal 2022 increased $25.0 million, or 8.1%, compared to the corresponding prior year period, due primarily to higher payroll and benefit-related costs, including higher variable compensati</w:t>
      </w:r>
      <w:r>
        <w:rPr>
          <w:sz w:val="20"/>
          <w:szCs w:val="20"/>
        </w:rPr>
        <w:t>on expense, higher vehicle lease and operating costs, higher provisions for doubtful accounts, as well as other inflationary effects on our operating costs</w:t>
      </w:r>
      <w:r>
        <w:rPr>
          <w:sz w:val="20"/>
          <w:szCs w:val="20"/>
        </w:rPr>
        <w:t>.</w:t>
      </w:r>
    </w:p>
    <w:p w:rsidR="00000000" w:rsidRDefault="00A749A6">
      <w:pPr>
        <w:pStyle w:val="a3"/>
        <w:spacing w:before="0" w:beforeAutospacing="0" w:after="0" w:afterAutospacing="0"/>
        <w:ind w:firstLine="555"/>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both"/>
        <w:rPr>
          <w:sz w:val="20"/>
          <w:szCs w:val="20"/>
        </w:rPr>
      </w:pPr>
      <w:r>
        <w:rPr>
          <w:i/>
          <w:iCs/>
          <w:sz w:val="20"/>
          <w:szCs w:val="20"/>
        </w:rPr>
        <w:t>General and Administrative Expense</w:t>
      </w:r>
      <w:r>
        <w:rPr>
          <w:i/>
          <w:iCs/>
          <w:sz w:val="20"/>
          <w:szCs w:val="20"/>
        </w:rPr>
        <w:t>s</w:t>
      </w:r>
    </w:p>
    <w:p w:rsidR="00000000" w:rsidRDefault="00A749A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4"/>
        <w:gridCol w:w="110"/>
        <w:gridCol w:w="160"/>
        <w:gridCol w:w="657"/>
        <w:gridCol w:w="227"/>
        <w:gridCol w:w="110"/>
        <w:gridCol w:w="160"/>
        <w:gridCol w:w="694"/>
        <w:gridCol w:w="227"/>
        <w:gridCol w:w="110"/>
        <w:gridCol w:w="160"/>
        <w:gridCol w:w="629"/>
        <w:gridCol w:w="110"/>
        <w:gridCol w:w="110"/>
        <w:gridCol w:w="112"/>
        <w:gridCol w:w="694"/>
        <w:gridCol w:w="242"/>
      </w:tblGrid>
      <w:tr w:rsidR="00000000">
        <w:trPr>
          <w:tblCellSpacing w:w="15" w:type="dxa"/>
        </w:trPr>
        <w:tc>
          <w:tcPr>
            <w:tcW w:w="2480" w:type="pct"/>
            <w:vAlign w:val="center"/>
            <w:hideMark/>
          </w:tcPr>
          <w:p w:rsidR="00000000" w:rsidRDefault="00A749A6">
            <w:pPr>
              <w:rPr>
                <w:sz w:val="20"/>
                <w:szCs w:val="20"/>
              </w:rPr>
            </w:pPr>
          </w:p>
        </w:tc>
        <w:tc>
          <w:tcPr>
            <w:tcW w:w="5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72"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95"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53"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95"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Nine Months Ende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26</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Increas</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General and administrative expense</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64,96</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57,86</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7,09</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12.</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As a percent of total revenue</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bl>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ind w:firstLine="555"/>
        <w:jc w:val="both"/>
        <w:rPr>
          <w:sz w:val="20"/>
          <w:szCs w:val="20"/>
        </w:rPr>
      </w:pPr>
      <w:r>
        <w:rPr>
          <w:sz w:val="20"/>
          <w:szCs w:val="20"/>
        </w:rPr>
        <w:t>General and administrative expenses of $65.0 million for the first nine months of fiscal 2022 increased $7.1 million, or 12.3%, compared to the prior year period, primarily due to higher payroll and benefit-related costs, including higher variable compensa</w:t>
      </w:r>
      <w:r>
        <w:rPr>
          <w:sz w:val="20"/>
          <w:szCs w:val="20"/>
        </w:rPr>
        <w:t>tion expense given the year-over-year increase in earnings</w:t>
      </w:r>
      <w:r>
        <w:rPr>
          <w:sz w:val="20"/>
          <w:szCs w:val="20"/>
        </w:rPr>
        <w:t>.</w:t>
      </w:r>
      <w:r>
        <w:rPr>
          <w:sz w:val="20"/>
          <w:szCs w:val="20"/>
        </w:rPr>
        <w:t xml:space="preserve"> </w:t>
      </w:r>
    </w:p>
    <w:p w:rsidR="00000000" w:rsidRDefault="00A749A6">
      <w:pPr>
        <w:pStyle w:val="a3"/>
        <w:spacing w:before="360" w:beforeAutospacing="0" w:after="0" w:afterAutospacing="0"/>
        <w:jc w:val="both"/>
        <w:rPr>
          <w:sz w:val="20"/>
          <w:szCs w:val="20"/>
        </w:rPr>
      </w:pPr>
      <w:r>
        <w:rPr>
          <w:i/>
          <w:iCs/>
          <w:sz w:val="20"/>
          <w:szCs w:val="20"/>
        </w:rPr>
        <w:t>Depreciation and Amortizatio</w:t>
      </w:r>
      <w:r>
        <w:rPr>
          <w:i/>
          <w:iCs/>
          <w:sz w:val="20"/>
          <w:szCs w:val="20"/>
        </w:rPr>
        <w:t>n</w:t>
      </w:r>
    </w:p>
    <w:p w:rsidR="00000000" w:rsidRDefault="00A749A6">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7"/>
        <w:gridCol w:w="110"/>
        <w:gridCol w:w="160"/>
        <w:gridCol w:w="633"/>
        <w:gridCol w:w="227"/>
        <w:gridCol w:w="110"/>
        <w:gridCol w:w="160"/>
        <w:gridCol w:w="670"/>
        <w:gridCol w:w="227"/>
        <w:gridCol w:w="110"/>
        <w:gridCol w:w="160"/>
        <w:gridCol w:w="677"/>
        <w:gridCol w:w="127"/>
        <w:gridCol w:w="110"/>
        <w:gridCol w:w="111"/>
        <w:gridCol w:w="648"/>
        <w:gridCol w:w="309"/>
      </w:tblGrid>
      <w:tr w:rsidR="00000000">
        <w:trPr>
          <w:tblCellSpacing w:w="15" w:type="dxa"/>
        </w:trPr>
        <w:tc>
          <w:tcPr>
            <w:tcW w:w="2468" w:type="pct"/>
            <w:vAlign w:val="center"/>
            <w:hideMark/>
          </w:tcPr>
          <w:p w:rsidR="00000000" w:rsidRDefault="00A749A6">
            <w:pPr>
              <w:rPr>
                <w:sz w:val="20"/>
                <w:szCs w:val="20"/>
              </w:rPr>
            </w:pPr>
          </w:p>
        </w:tc>
        <w:tc>
          <w:tcPr>
            <w:tcW w:w="49"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6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9"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91"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9"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41"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9"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31"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Nine Months Ende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26</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Decreas</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Decreas</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Depreciation and amortizatio</w:t>
            </w:r>
            <w:r>
              <w:rPr>
                <w:sz w:val="20"/>
                <w:szCs w:val="20"/>
              </w:rPr>
              <w:t>n</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44,35</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82,61</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(38,26</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(46.</w:t>
            </w:r>
            <w:r>
              <w:rPr>
                <w:sz w:val="20"/>
                <w:szCs w:val="20"/>
              </w:rPr>
              <w:t>3</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As a percent of total revenue</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bl>
    <w:p w:rsidR="00000000" w:rsidRDefault="00A749A6">
      <w:pPr>
        <w:pStyle w:val="a3"/>
        <w:spacing w:before="0" w:beforeAutospacing="0" w:after="0" w:afterAutospacing="0"/>
        <w:ind w:firstLine="555"/>
        <w:jc w:val="both"/>
        <w:rPr>
          <w:sz w:val="20"/>
          <w:szCs w:val="20"/>
        </w:rPr>
      </w:pPr>
      <w:r>
        <w:rPr>
          <w:sz w:val="20"/>
          <w:szCs w:val="20"/>
        </w:rPr>
        <w:t> </w:t>
      </w:r>
    </w:p>
    <w:p w:rsidR="00000000" w:rsidRDefault="00A749A6">
      <w:pPr>
        <w:pStyle w:val="a3"/>
        <w:spacing w:before="0" w:beforeAutospacing="0" w:after="0" w:afterAutospacing="0"/>
        <w:ind w:firstLine="555"/>
        <w:jc w:val="both"/>
        <w:rPr>
          <w:sz w:val="20"/>
          <w:szCs w:val="20"/>
        </w:rPr>
      </w:pPr>
      <w:r>
        <w:rPr>
          <w:sz w:val="20"/>
          <w:szCs w:val="20"/>
        </w:rPr>
        <w:t>Depreciation and amortization expense of $44.4 million in the first nine months of fiscal 2022 decreased $38.3 million, or 46.3%, primarily as a result of lower amortization expense attributable to the conclusion of the amortization period for certain inta</w:t>
      </w:r>
      <w:r>
        <w:rPr>
          <w:sz w:val="20"/>
          <w:szCs w:val="20"/>
        </w:rPr>
        <w:t>ngible assets from prior business acquisitions</w:t>
      </w:r>
      <w:r>
        <w:rPr>
          <w:sz w:val="20"/>
          <w:szCs w:val="20"/>
        </w:rPr>
        <w:t>.</w:t>
      </w:r>
      <w:r>
        <w:rPr>
          <w:sz w:val="20"/>
          <w:szCs w:val="20"/>
        </w:rPr>
        <w:t xml:space="preserve"> </w:t>
      </w:r>
    </w:p>
    <w:p w:rsidR="00000000" w:rsidRDefault="00A749A6">
      <w:pPr>
        <w:pStyle w:val="a3"/>
        <w:spacing w:before="360" w:beforeAutospacing="0" w:after="0" w:afterAutospacing="0"/>
        <w:jc w:val="both"/>
        <w:rPr>
          <w:sz w:val="20"/>
          <w:szCs w:val="20"/>
        </w:rPr>
      </w:pPr>
      <w:r>
        <w:rPr>
          <w:i/>
          <w:iCs/>
          <w:sz w:val="20"/>
          <w:szCs w:val="20"/>
        </w:rPr>
        <w:t>Interest Expense, ne</w:t>
      </w:r>
      <w:r>
        <w:rPr>
          <w:i/>
          <w:iCs/>
          <w:sz w:val="20"/>
          <w:szCs w:val="20"/>
        </w:rPr>
        <w:t>t</w:t>
      </w:r>
    </w:p>
    <w:p w:rsidR="00000000" w:rsidRDefault="00A749A6">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8"/>
        <w:gridCol w:w="110"/>
        <w:gridCol w:w="160"/>
        <w:gridCol w:w="634"/>
        <w:gridCol w:w="227"/>
        <w:gridCol w:w="110"/>
        <w:gridCol w:w="160"/>
        <w:gridCol w:w="670"/>
        <w:gridCol w:w="227"/>
        <w:gridCol w:w="110"/>
        <w:gridCol w:w="160"/>
        <w:gridCol w:w="591"/>
        <w:gridCol w:w="127"/>
        <w:gridCol w:w="110"/>
        <w:gridCol w:w="111"/>
        <w:gridCol w:w="732"/>
        <w:gridCol w:w="309"/>
      </w:tblGrid>
      <w:tr w:rsidR="00000000">
        <w:trPr>
          <w:tblCellSpacing w:w="15" w:type="dxa"/>
        </w:trPr>
        <w:tc>
          <w:tcPr>
            <w:tcW w:w="2468" w:type="pct"/>
            <w:vAlign w:val="center"/>
            <w:hideMark/>
          </w:tcPr>
          <w:p w:rsidR="00000000" w:rsidRDefault="00A749A6">
            <w:pPr>
              <w:rPr>
                <w:sz w:val="20"/>
                <w:szCs w:val="20"/>
              </w:rPr>
            </w:pPr>
          </w:p>
        </w:tc>
        <w:tc>
          <w:tcPr>
            <w:tcW w:w="49"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6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9"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91"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9"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40"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9"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31"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Nine Months Ende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26</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Percen</w:t>
            </w:r>
            <w:r>
              <w:rPr>
                <w:b/>
                <w:bCs/>
                <w:sz w:val="16"/>
                <w:szCs w:val="16"/>
              </w:rPr>
              <w:t>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Decreas</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hideMark/>
          </w:tcPr>
          <w:p w:rsidR="00000000" w:rsidRDefault="00A749A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Decreas</w:t>
            </w:r>
            <w:r>
              <w:rPr>
                <w:b/>
                <w:bCs/>
                <w:sz w:val="16"/>
                <w:szCs w:val="16"/>
              </w:rPr>
              <w:t>e</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Interest expense, ne</w:t>
            </w:r>
            <w:r>
              <w:rPr>
                <w:sz w:val="20"/>
                <w:szCs w:val="20"/>
              </w:rPr>
              <w:t>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45,55</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52,96</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(7,40</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(14.</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As a percent of total revenue</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3.</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bl>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ind w:firstLine="555"/>
        <w:jc w:val="both"/>
        <w:rPr>
          <w:sz w:val="20"/>
          <w:szCs w:val="20"/>
        </w:rPr>
      </w:pPr>
      <w:r>
        <w:rPr>
          <w:sz w:val="20"/>
          <w:szCs w:val="20"/>
        </w:rPr>
        <w:t>Net interest expense of $45.6 million in the first nine months of fiscal 2022 decreased $7.4 million, or 14.0%, compared to the prior year period, primarily due to the impact of the refinancing of two tranches of senior notes at lower interest rates in the</w:t>
      </w:r>
      <w:r>
        <w:rPr>
          <w:sz w:val="20"/>
          <w:szCs w:val="20"/>
        </w:rPr>
        <w:t xml:space="preserve"> third quarter of the prior year, as well as a lower average level of outstanding debt. See Liquidity and Capital Resources below for additional discussion</w:t>
      </w:r>
      <w:r>
        <w:rPr>
          <w:sz w:val="20"/>
          <w:szCs w:val="20"/>
        </w:rPr>
        <w:t>.</w:t>
      </w:r>
    </w:p>
    <w:p w:rsidR="00000000" w:rsidRDefault="00A749A6">
      <w:pPr>
        <w:pStyle w:val="a3"/>
        <w:spacing w:before="0" w:beforeAutospacing="0" w:after="0" w:afterAutospacing="0"/>
        <w:jc w:val="center"/>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3</w:t>
      </w:r>
      <w:r>
        <w:rPr>
          <w:sz w:val="20"/>
          <w:szCs w:val="20"/>
        </w:rPr>
        <w:t>2</w:t>
      </w:r>
    </w:p>
    <w:p w:rsidR="00000000" w:rsidRDefault="00A749A6">
      <w:pPr>
        <w:rPr>
          <w:rFonts w:eastAsia="Times New Roman"/>
        </w:rPr>
      </w:pPr>
      <w:r>
        <w:rPr>
          <w:rFonts w:eastAsia="Times New Roman"/>
        </w:rPr>
        <w:pict>
          <v:rect id="_x0000_i1060" style="width:0;height:1.5pt" o:hralign="center" o:hrstd="t" o:hr="t" fillcolor="#a0a0a0" stroked="f"/>
        </w:pict>
      </w:r>
    </w:p>
    <w:p w:rsidR="00000000" w:rsidRDefault="00A749A6">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0" w:beforeAutospacing="0" w:after="0" w:afterAutospacing="0"/>
        <w:jc w:val="both"/>
        <w:rPr>
          <w:sz w:val="20"/>
          <w:szCs w:val="20"/>
        </w:rPr>
      </w:pPr>
      <w:r>
        <w:rPr>
          <w:i/>
          <w:iCs/>
          <w:sz w:val="20"/>
          <w:szCs w:val="20"/>
        </w:rPr>
        <w:t>Loss on Debt Extinguishmen</w:t>
      </w:r>
      <w:r>
        <w:rPr>
          <w:i/>
          <w:iCs/>
          <w:sz w:val="20"/>
          <w:szCs w:val="20"/>
        </w:rPr>
        <w:t>t</w:t>
      </w:r>
    </w:p>
    <w:p w:rsidR="00000000" w:rsidRDefault="00A749A6">
      <w:pPr>
        <w:pStyle w:val="a3"/>
        <w:spacing w:before="240" w:beforeAutospacing="0" w:after="0" w:afterAutospacing="0"/>
        <w:ind w:firstLine="555"/>
        <w:jc w:val="both"/>
        <w:rPr>
          <w:sz w:val="20"/>
          <w:szCs w:val="20"/>
        </w:rPr>
      </w:pPr>
      <w:r>
        <w:rPr>
          <w:sz w:val="20"/>
          <w:szCs w:val="20"/>
        </w:rPr>
        <w:t>On May 24, 2021, we repurchased, satisfied and discharged all of our previously outstanding 2024 Senior Notes and 2025 Senior Notes with net proceed</w:t>
      </w:r>
      <w:r>
        <w:rPr>
          <w:sz w:val="20"/>
          <w:szCs w:val="20"/>
        </w:rPr>
        <w:t>s from the issuance of the 2031 Senior Notes and borrowings under the Revolving Credit Facility, as described and defined below, pursuant to a tender offer and redemption. In connection with this tender offer and redemption during the third quarter of fisc</w:t>
      </w:r>
      <w:r>
        <w:rPr>
          <w:sz w:val="20"/>
          <w:szCs w:val="20"/>
        </w:rPr>
        <w:t>al 2021, we recognized a loss on the extinguishment of debt of $16.0 million, consisting of $11.5 million for the redemption premium and related fees, as well as the write-off of $4.5 million in unamortized debt origination costs</w:t>
      </w:r>
      <w:r>
        <w:rPr>
          <w:sz w:val="20"/>
          <w:szCs w:val="20"/>
        </w:rPr>
        <w:t>.</w:t>
      </w:r>
    </w:p>
    <w:p w:rsidR="00000000" w:rsidRDefault="00A749A6">
      <w:pPr>
        <w:pStyle w:val="a3"/>
        <w:spacing w:before="360" w:beforeAutospacing="0" w:after="0" w:afterAutospacing="0"/>
        <w:jc w:val="both"/>
        <w:rPr>
          <w:sz w:val="20"/>
          <w:szCs w:val="20"/>
        </w:rPr>
      </w:pPr>
      <w:r>
        <w:rPr>
          <w:i/>
          <w:iCs/>
          <w:sz w:val="20"/>
          <w:szCs w:val="20"/>
        </w:rPr>
        <w:t>EBITDA and Adjusted EBITD</w:t>
      </w:r>
      <w:r>
        <w:rPr>
          <w:i/>
          <w:iCs/>
          <w:sz w:val="20"/>
          <w:szCs w:val="20"/>
        </w:rPr>
        <w:t>A</w:t>
      </w:r>
    </w:p>
    <w:p w:rsidR="00000000" w:rsidRDefault="00A749A6">
      <w:pPr>
        <w:pStyle w:val="a3"/>
        <w:spacing w:before="120" w:beforeAutospacing="0" w:after="0" w:afterAutospacing="0"/>
        <w:ind w:firstLine="555"/>
        <w:jc w:val="both"/>
        <w:rPr>
          <w:sz w:val="20"/>
          <w:szCs w:val="20"/>
        </w:rPr>
      </w:pPr>
      <w:r>
        <w:rPr>
          <w:sz w:val="20"/>
          <w:szCs w:val="20"/>
        </w:rPr>
        <w:t>The following table sets forth our calculations of EBITDA and Adjusted EBITDA</w:t>
      </w:r>
      <w:r>
        <w:rPr>
          <w:sz w:val="20"/>
          <w:szCs w:val="20"/>
        </w:rPr>
        <w:t>:</w:t>
      </w:r>
    </w:p>
    <w:p w:rsidR="00000000" w:rsidRDefault="00A749A6">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58"/>
        <w:gridCol w:w="145"/>
        <w:gridCol w:w="160"/>
        <w:gridCol w:w="1133"/>
        <w:gridCol w:w="110"/>
        <w:gridCol w:w="146"/>
        <w:gridCol w:w="160"/>
        <w:gridCol w:w="1152"/>
        <w:gridCol w:w="142"/>
      </w:tblGrid>
      <w:tr w:rsidR="00000000">
        <w:trPr>
          <w:tblCellSpacing w:w="15" w:type="dxa"/>
        </w:trPr>
        <w:tc>
          <w:tcPr>
            <w:tcW w:w="3205" w:type="pct"/>
            <w:vAlign w:val="center"/>
            <w:hideMark/>
          </w:tcPr>
          <w:p w:rsidR="00000000" w:rsidRDefault="00A749A6">
            <w:pPr>
              <w:rPr>
                <w:sz w:val="20"/>
                <w:szCs w:val="20"/>
              </w:rPr>
            </w:pPr>
          </w:p>
        </w:tc>
        <w:tc>
          <w:tcPr>
            <w:tcW w:w="87"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703"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87"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714"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rPr>
                <w:sz w:val="16"/>
                <w:szCs w:val="16"/>
              </w:rPr>
            </w:pPr>
            <w:r>
              <w:rPr>
                <w:b/>
                <w:bCs/>
                <w:sz w:val="16"/>
                <w:szCs w:val="16"/>
              </w:rPr>
              <w:t>(Dollars in thousands</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A749A6">
            <w:pPr>
              <w:pStyle w:val="a3"/>
              <w:spacing w:before="0" w:beforeAutospacing="0" w:after="0" w:afterAutospacing="0"/>
              <w:jc w:val="center"/>
              <w:rPr>
                <w:sz w:val="16"/>
                <w:szCs w:val="16"/>
              </w:rPr>
            </w:pPr>
            <w:r>
              <w:rPr>
                <w:b/>
                <w:bCs/>
                <w:sz w:val="16"/>
                <w:szCs w:val="16"/>
              </w:rPr>
              <w:t>Nine Months Ende</w:t>
            </w:r>
            <w:r>
              <w:rPr>
                <w:b/>
                <w:bCs/>
                <w:sz w:val="16"/>
                <w:szCs w:val="16"/>
              </w:rPr>
              <w:t>d</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25</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June 26</w:t>
            </w:r>
            <w:r>
              <w:rPr>
                <w:b/>
                <w:bCs/>
                <w:sz w:val="16"/>
                <w:szCs w:val="16"/>
              </w:rPr>
              <w:t>,</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A749A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Net incom</w:t>
            </w:r>
            <w:r>
              <w:rPr>
                <w:sz w:val="20"/>
                <w:szCs w:val="20"/>
              </w:rPr>
              <w:t>e</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193,86</w:t>
            </w:r>
            <w:r>
              <w:rPr>
                <w:sz w:val="20"/>
                <w:szCs w:val="20"/>
              </w:rPr>
              <w:t>5</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139,17</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Add</w:t>
            </w:r>
            <w:r>
              <w:rPr>
                <w:sz w:val="20"/>
                <w:szCs w:val="20"/>
              </w:rPr>
              <w: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A749A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Provision for income taxe</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17</w:t>
            </w:r>
            <w:r>
              <w:rPr>
                <w:sz w:val="20"/>
                <w:szCs w:val="20"/>
              </w:rPr>
              <w:t>1</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93</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Interest expense, ne</w:t>
            </w:r>
            <w:r>
              <w:rPr>
                <w:sz w:val="20"/>
                <w:szCs w:val="20"/>
              </w:rPr>
              <w:t>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45,55</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52,96</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ind w:left="200"/>
              <w:rPr>
                <w:sz w:val="20"/>
                <w:szCs w:val="20"/>
              </w:rPr>
            </w:pPr>
            <w:r>
              <w:rPr>
                <w:sz w:val="20"/>
                <w:szCs w:val="20"/>
              </w:rPr>
              <w:t>Depreciation and amortizatio</w:t>
            </w:r>
            <w:r>
              <w:rPr>
                <w:sz w:val="20"/>
                <w:szCs w:val="20"/>
              </w:rPr>
              <w:t>n</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44,35</w:t>
            </w:r>
            <w:r>
              <w:rPr>
                <w:sz w:val="20"/>
                <w:szCs w:val="20"/>
              </w:rPr>
              <w:t>6</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82,61</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EBITD</w:t>
            </w:r>
            <w:r>
              <w:rPr>
                <w:sz w:val="20"/>
                <w:szCs w:val="20"/>
              </w:rPr>
              <w:t>A</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283,94</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275,68</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Unrealized non-cash losses (gains) on changes in fair value of derivative</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1,44</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(17,63</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Equity in earnings of unconsolidated affiliate</w:t>
            </w:r>
            <w:r>
              <w:rPr>
                <w:sz w:val="20"/>
                <w:szCs w:val="20"/>
              </w:rPr>
              <w:t>s</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2,20</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55</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Pension settlement charg</w:t>
            </w:r>
            <w:r>
              <w:rPr>
                <w:sz w:val="20"/>
                <w:szCs w:val="20"/>
              </w:rPr>
              <w:t>e</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63</w:t>
            </w:r>
            <w:r>
              <w:rPr>
                <w:sz w:val="20"/>
                <w:szCs w:val="20"/>
              </w:rPr>
              <w:t>4</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71</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Loss on debt extinguishmen</w:t>
            </w:r>
            <w:r>
              <w:rPr>
                <w:sz w:val="20"/>
                <w:szCs w:val="20"/>
              </w:rPr>
              <w:t>t</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16,02</w:t>
            </w:r>
            <w:r>
              <w:rPr>
                <w:sz w:val="20"/>
                <w:szCs w:val="20"/>
              </w:rPr>
              <w:t>9</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Adjusted EBITD</w:t>
            </w:r>
            <w:r>
              <w:rPr>
                <w:sz w:val="20"/>
                <w:szCs w:val="20"/>
              </w:rPr>
              <w:t>A</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288,22</w:t>
            </w:r>
            <w:r>
              <w:rPr>
                <w:sz w:val="20"/>
                <w:szCs w:val="20"/>
              </w:rPr>
              <w:t>7</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275,35</w:t>
            </w:r>
            <w:r>
              <w:rPr>
                <w:sz w:val="20"/>
                <w:szCs w:val="20"/>
              </w:rPr>
              <w:t>0</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r>
    </w:tbl>
    <w:p w:rsidR="00000000" w:rsidRDefault="00A749A6">
      <w:pPr>
        <w:pStyle w:val="a3"/>
        <w:spacing w:before="0" w:beforeAutospacing="0" w:after="0" w:afterAutospacing="0"/>
        <w:ind w:firstLine="555"/>
        <w:jc w:val="both"/>
        <w:rPr>
          <w:sz w:val="20"/>
          <w:szCs w:val="20"/>
        </w:rPr>
      </w:pPr>
      <w:r>
        <w:rPr>
          <w:sz w:val="20"/>
          <w:szCs w:val="20"/>
        </w:rPr>
        <w:t> </w:t>
      </w:r>
    </w:p>
    <w:p w:rsidR="00000000" w:rsidRDefault="00A749A6">
      <w:pPr>
        <w:pStyle w:val="a3"/>
        <w:spacing w:before="0" w:beforeAutospacing="0" w:after="0" w:afterAutospacing="0"/>
        <w:ind w:firstLine="555"/>
        <w:jc w:val="both"/>
        <w:rPr>
          <w:sz w:val="20"/>
          <w:szCs w:val="20"/>
        </w:rPr>
      </w:pPr>
      <w:r>
        <w:rPr>
          <w:sz w:val="20"/>
          <w:szCs w:val="20"/>
        </w:rPr>
        <w:t>We also reference gross margins, computed as revenues less cost of products sold as those amounts are reported on the condensed consolidated financial statements. Our management uses gross margin as a supplemental measure of operating performance and we ar</w:t>
      </w:r>
      <w:r>
        <w:rPr>
          <w:sz w:val="20"/>
          <w:szCs w:val="20"/>
        </w:rPr>
        <w:t>e including it as we believe that it provides our investors and industry analysts with additional information that we determined is useful to evaluate our operating results. As cost of products sold does not include depreciation and amortization expense, t</w:t>
      </w:r>
      <w:r>
        <w:rPr>
          <w:sz w:val="20"/>
          <w:szCs w:val="20"/>
        </w:rPr>
        <w:t>he gross margin we reference is considered a non-GAAP financial measure</w:t>
      </w:r>
      <w:r>
        <w:rPr>
          <w:sz w:val="20"/>
          <w:szCs w:val="20"/>
        </w:rPr>
        <w:t>.</w:t>
      </w:r>
    </w:p>
    <w:p w:rsidR="00000000" w:rsidRDefault="00A749A6">
      <w:pPr>
        <w:pStyle w:val="a3"/>
        <w:spacing w:before="360" w:beforeAutospacing="0" w:after="0" w:afterAutospacing="0"/>
        <w:jc w:val="both"/>
        <w:rPr>
          <w:sz w:val="20"/>
          <w:szCs w:val="20"/>
        </w:rPr>
      </w:pPr>
      <w:r>
        <w:rPr>
          <w:b/>
          <w:bCs/>
          <w:sz w:val="20"/>
          <w:szCs w:val="20"/>
        </w:rPr>
        <w:t>Liquidity and Capital Resource</w:t>
      </w:r>
      <w:r>
        <w:rPr>
          <w:b/>
          <w:bCs/>
          <w:sz w:val="20"/>
          <w:szCs w:val="20"/>
        </w:rPr>
        <w:t>s</w:t>
      </w:r>
    </w:p>
    <w:p w:rsidR="00000000" w:rsidRDefault="00A749A6">
      <w:pPr>
        <w:pStyle w:val="a3"/>
        <w:spacing w:before="120" w:beforeAutospacing="0" w:after="0" w:afterAutospacing="0"/>
        <w:jc w:val="both"/>
        <w:rPr>
          <w:sz w:val="20"/>
          <w:szCs w:val="20"/>
        </w:rPr>
      </w:pPr>
      <w:r>
        <w:rPr>
          <w:b/>
          <w:bCs/>
          <w:i/>
          <w:iCs/>
          <w:sz w:val="20"/>
          <w:szCs w:val="20"/>
        </w:rPr>
        <w:t>Analysis of Cash Flow</w:t>
      </w:r>
      <w:r>
        <w:rPr>
          <w:b/>
          <w:bCs/>
          <w:i/>
          <w:iCs/>
          <w:sz w:val="20"/>
          <w:szCs w:val="20"/>
        </w:rPr>
        <w:t>s</w:t>
      </w:r>
    </w:p>
    <w:p w:rsidR="00000000" w:rsidRDefault="00A749A6">
      <w:pPr>
        <w:pStyle w:val="a3"/>
        <w:spacing w:before="120" w:beforeAutospacing="0" w:after="0" w:afterAutospacing="0"/>
        <w:ind w:firstLine="555"/>
        <w:jc w:val="both"/>
        <w:rPr>
          <w:sz w:val="20"/>
          <w:szCs w:val="20"/>
        </w:rPr>
      </w:pPr>
      <w:r>
        <w:rPr>
          <w:i/>
          <w:iCs/>
          <w:sz w:val="20"/>
          <w:szCs w:val="20"/>
        </w:rPr>
        <w:t>Operating Activities.</w:t>
      </w:r>
      <w:r>
        <w:rPr>
          <w:i/>
          <w:iCs/>
          <w:sz w:val="20"/>
          <w:szCs w:val="20"/>
        </w:rPr>
        <w:t xml:space="preserve"> </w:t>
      </w:r>
      <w:r>
        <w:rPr>
          <w:sz w:val="20"/>
          <w:szCs w:val="20"/>
        </w:rPr>
        <w:t>Net cash provided by operating activities for the first nine months of fiscal 2022 of $171.1 million decreased $9.6 million compared to the corresponding prior year period. The decrease was primarily due to a higher level of variable-based compensation pay</w:t>
      </w:r>
      <w:r>
        <w:rPr>
          <w:sz w:val="20"/>
          <w:szCs w:val="20"/>
        </w:rPr>
        <w:t>ments for awards earned in the respective prior fiscal year, the payment of the employer portion of social security payroll tax that was deferred during a certain portion of fiscal 2020 under the CARES Act, and a larger increase in working capital compared</w:t>
      </w:r>
      <w:r>
        <w:rPr>
          <w:sz w:val="20"/>
          <w:szCs w:val="20"/>
        </w:rPr>
        <w:t xml:space="preserve"> to the prior year, which stemmed from the rise in average wholesale costs of propane (discussed above)</w:t>
      </w:r>
      <w:r>
        <w:rPr>
          <w:sz w:val="20"/>
          <w:szCs w:val="20"/>
        </w:rPr>
        <w:t>.</w:t>
      </w:r>
      <w:r>
        <w:rPr>
          <w:sz w:val="20"/>
          <w:szCs w:val="20"/>
        </w:rPr>
        <w:t xml:space="preserve"> </w:t>
      </w:r>
    </w:p>
    <w:p w:rsidR="00000000" w:rsidRDefault="00A749A6">
      <w:pPr>
        <w:pStyle w:val="a3"/>
        <w:spacing w:before="240" w:beforeAutospacing="0" w:after="0" w:afterAutospacing="0"/>
        <w:ind w:firstLine="555"/>
        <w:jc w:val="both"/>
        <w:rPr>
          <w:sz w:val="20"/>
          <w:szCs w:val="20"/>
        </w:rPr>
      </w:pPr>
      <w:r>
        <w:rPr>
          <w:i/>
          <w:iCs/>
          <w:sz w:val="20"/>
          <w:szCs w:val="20"/>
        </w:rPr>
        <w:t>Investing Activities</w:t>
      </w:r>
      <w:r>
        <w:rPr>
          <w:i/>
          <w:iCs/>
          <w:sz w:val="20"/>
          <w:szCs w:val="20"/>
        </w:rPr>
        <w:t>.</w:t>
      </w:r>
      <w:r>
        <w:rPr>
          <w:sz w:val="20"/>
          <w:szCs w:val="20"/>
        </w:rPr>
        <w:t xml:space="preserve"> Net cash used in investing activities of $64.3 million for the first nine months of fiscal 2022 consisted of capital expenditure</w:t>
      </w:r>
      <w:r>
        <w:rPr>
          <w:sz w:val="20"/>
          <w:szCs w:val="20"/>
        </w:rPr>
        <w:t>s of $33.3 million (including approximately $17.8 million to support the growth of operations and $15.5 million for maintenance expenditures), a $30.0 million investment in IH (plus direct transactions costs), $5.8 million used to fund the acquisition of c</w:t>
      </w:r>
      <w:r>
        <w:rPr>
          <w:sz w:val="20"/>
          <w:szCs w:val="20"/>
        </w:rPr>
        <w:t>ertain assets of a retail propane business and additional investments in Oberon, partially offset by approximately $5.3 million in proceeds from the sale of property, plant and equipment, as well as the sale of certain assets and operations in a non-strate</w:t>
      </w:r>
      <w:r>
        <w:rPr>
          <w:sz w:val="20"/>
          <w:szCs w:val="20"/>
        </w:rPr>
        <w:t>gic market of the propane segment. See Item 1, Note 4 of this Quarterly Report</w:t>
      </w:r>
      <w:r>
        <w:rPr>
          <w:sz w:val="20"/>
          <w:szCs w:val="20"/>
        </w:rPr>
        <w:t>.</w:t>
      </w:r>
    </w:p>
    <w:p w:rsidR="00000000" w:rsidRDefault="00A749A6">
      <w:pPr>
        <w:pStyle w:val="a3"/>
        <w:spacing w:before="240" w:beforeAutospacing="0" w:after="0" w:afterAutospacing="0"/>
        <w:ind w:firstLine="555"/>
        <w:jc w:val="both"/>
        <w:rPr>
          <w:sz w:val="20"/>
          <w:szCs w:val="20"/>
        </w:rPr>
      </w:pPr>
      <w:r>
        <w:rPr>
          <w:sz w:val="20"/>
          <w:szCs w:val="20"/>
        </w:rPr>
        <w:t>Net cash used in investing activities of $27.8 million for the first nine months of fiscal 2021 consisted of capital expenditures of $21.8 million (including approximately $11.</w:t>
      </w:r>
      <w:r>
        <w:rPr>
          <w:sz w:val="20"/>
          <w:szCs w:val="20"/>
        </w:rPr>
        <w:t>3 million to support the growth of operations and $10.5 million for maintenance expenditures), $8.3 million used to fund the acquisition of a retail propane business and other investment activities, partially offset by approximately $2.3 million in proceed</w:t>
      </w:r>
      <w:r>
        <w:rPr>
          <w:sz w:val="20"/>
          <w:szCs w:val="20"/>
        </w:rPr>
        <w:t>s from the sale of property, plant and equipment</w:t>
      </w:r>
      <w:r>
        <w:rPr>
          <w:sz w:val="20"/>
          <w:szCs w:val="20"/>
        </w:rPr>
        <w:t>.</w:t>
      </w:r>
    </w:p>
    <w:p w:rsidR="00000000" w:rsidRDefault="00A749A6">
      <w:pPr>
        <w:pStyle w:val="a3"/>
        <w:spacing w:before="240" w:beforeAutospacing="0" w:after="0" w:afterAutospacing="0"/>
        <w:ind w:firstLine="555"/>
        <w:jc w:val="both"/>
        <w:rPr>
          <w:sz w:val="20"/>
          <w:szCs w:val="20"/>
        </w:rPr>
      </w:pPr>
      <w:r>
        <w:rPr>
          <w:i/>
          <w:iCs/>
          <w:sz w:val="20"/>
          <w:szCs w:val="20"/>
        </w:rPr>
        <w:t>Financing Activities</w:t>
      </w:r>
      <w:r>
        <w:rPr>
          <w:i/>
          <w:iCs/>
          <w:sz w:val="20"/>
          <w:szCs w:val="20"/>
        </w:rPr>
        <w:t>.</w:t>
      </w:r>
      <w:r>
        <w:rPr>
          <w:sz w:val="20"/>
          <w:szCs w:val="20"/>
        </w:rPr>
        <w:t xml:space="preserve"> Net cash used in financing activities of $105.6 million for the first nine months of fiscal 2022 reflected $61.3 million paid for the quarterly distributions to Common Unitholders at a</w:t>
      </w:r>
      <w:r>
        <w:rPr>
          <w:sz w:val="20"/>
          <w:szCs w:val="20"/>
        </w:rPr>
        <w:t xml:space="preserve"> rate of $0.325 per Common Unit paid in respect of the fourth quarter of fiscal 2021 and first and second quarters of fiscal 2022, $40.6 million in net repayments under our revolving credit facility and other financing activities of $3.7 million</w:t>
      </w:r>
      <w:r>
        <w:rPr>
          <w:sz w:val="20"/>
          <w:szCs w:val="20"/>
        </w:rPr>
        <w:t>.</w:t>
      </w:r>
      <w:r>
        <w:rPr>
          <w:sz w:val="20"/>
          <w:szCs w:val="20"/>
        </w:rPr>
        <w:t xml:space="preserve"> </w:t>
      </w:r>
    </w:p>
    <w:p w:rsidR="00000000" w:rsidRDefault="00A749A6">
      <w:pPr>
        <w:pStyle w:val="a3"/>
        <w:spacing w:before="0" w:beforeAutospacing="0" w:after="0" w:afterAutospacing="0"/>
        <w:jc w:val="center"/>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3</w:t>
      </w:r>
      <w:r>
        <w:rPr>
          <w:sz w:val="20"/>
          <w:szCs w:val="20"/>
        </w:rPr>
        <w:t>3</w:t>
      </w:r>
    </w:p>
    <w:p w:rsidR="00000000" w:rsidRDefault="00A749A6">
      <w:pPr>
        <w:rPr>
          <w:rFonts w:eastAsia="Times New Roman"/>
        </w:rPr>
      </w:pPr>
      <w:r>
        <w:rPr>
          <w:rFonts w:eastAsia="Times New Roman"/>
        </w:rPr>
        <w:pict>
          <v:rect id="_x0000_i1061" style="width:0;height:1.5pt" o:hralign="center" o:hrstd="t" o:hr="t" fillcolor="#a0a0a0" stroked="f"/>
        </w:pict>
      </w:r>
    </w:p>
    <w:p w:rsidR="00000000" w:rsidRDefault="00A749A6">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240" w:beforeAutospacing="0" w:after="0" w:afterAutospacing="0"/>
        <w:ind w:firstLine="555"/>
        <w:jc w:val="both"/>
        <w:rPr>
          <w:sz w:val="20"/>
          <w:szCs w:val="20"/>
        </w:rPr>
      </w:pPr>
      <w:r>
        <w:rPr>
          <w:sz w:val="20"/>
          <w:szCs w:val="20"/>
        </w:rPr>
        <w:t>Net cash used in financing activities for the first nine months of fiscal 2021 reflected $56.2 million paid for the quarterly distributions to</w:t>
      </w:r>
      <w:r>
        <w:rPr>
          <w:sz w:val="20"/>
          <w:szCs w:val="20"/>
        </w:rPr>
        <w:t xml:space="preserve"> Common Unitholders at a rate of $0.30 per Common Unit paid in respect of the fourth quarter of fiscal 2020 and the first and second quarters of fiscal 2021, and other financing activities of $3.6 million. Also reflected in financing activities for the fir</w:t>
      </w:r>
      <w:r>
        <w:rPr>
          <w:sz w:val="20"/>
          <w:szCs w:val="20"/>
        </w:rPr>
        <w:t>st nine months of fiscal 2021 was proceeds of $650.0 million from the issuance of the 2031 Senior Notes which were used, along with borrowings of $125.0 million under our revolving credit facility, to repurchase, satisfy and discharge all of the previously</w:t>
      </w:r>
      <w:r>
        <w:rPr>
          <w:sz w:val="20"/>
          <w:szCs w:val="20"/>
        </w:rPr>
        <w:t xml:space="preserve"> outstanding 2024 Senior Notes and 2025 Senior Notes, with an aggregate par value of $775.0 million, as well as to pay tender premiums and other related fees of $11.3 million and debt issuance costs of $10.8 million, pursuant to a tender offer and redempti</w:t>
      </w:r>
      <w:r>
        <w:rPr>
          <w:sz w:val="20"/>
          <w:szCs w:val="20"/>
        </w:rPr>
        <w:t>on. For the nine months ended June 26, 2021, we utilized excess cash flows to repay $68.2 million of total debt</w:t>
      </w:r>
      <w:r>
        <w:rPr>
          <w:sz w:val="20"/>
          <w:szCs w:val="20"/>
        </w:rPr>
        <w:t>.</w:t>
      </w:r>
    </w:p>
    <w:p w:rsidR="00000000" w:rsidRDefault="00A749A6">
      <w:pPr>
        <w:pStyle w:val="a3"/>
        <w:spacing w:before="360" w:beforeAutospacing="0" w:after="0" w:afterAutospacing="0"/>
        <w:jc w:val="both"/>
        <w:rPr>
          <w:sz w:val="20"/>
          <w:szCs w:val="20"/>
        </w:rPr>
      </w:pPr>
      <w:r>
        <w:rPr>
          <w:b/>
          <w:bCs/>
          <w:i/>
          <w:iCs/>
          <w:sz w:val="20"/>
          <w:szCs w:val="20"/>
        </w:rPr>
        <w:t>Summary of Long-Term Debt Obligations and Revolving Credit Facilit</w:t>
      </w:r>
      <w:r>
        <w:rPr>
          <w:b/>
          <w:bCs/>
          <w:i/>
          <w:iCs/>
          <w:sz w:val="20"/>
          <w:szCs w:val="20"/>
        </w:rPr>
        <w:t>y</w:t>
      </w:r>
    </w:p>
    <w:p w:rsidR="00000000" w:rsidRDefault="00A749A6">
      <w:pPr>
        <w:pStyle w:val="a3"/>
        <w:spacing w:before="120" w:beforeAutospacing="0" w:after="0" w:afterAutospacing="0"/>
        <w:ind w:firstLine="555"/>
        <w:jc w:val="both"/>
        <w:rPr>
          <w:sz w:val="20"/>
          <w:szCs w:val="20"/>
        </w:rPr>
      </w:pPr>
      <w:r>
        <w:rPr>
          <w:sz w:val="20"/>
          <w:szCs w:val="20"/>
        </w:rPr>
        <w:t>As of June 25, 2022, our long-term debt consisted of $350.0 million in aggr</w:t>
      </w:r>
      <w:r>
        <w:rPr>
          <w:sz w:val="20"/>
          <w:szCs w:val="20"/>
        </w:rPr>
        <w:t xml:space="preserve">egate principal amount of 5.875% senior notes due March 1, 2027, $650.0 million in aggregate principal amount of 5.0% senior notes due June 1, 2031 and $91.4 million outstanding under our $500.0 million senior secured revolving credit facility (“Revolving </w:t>
      </w:r>
      <w:r>
        <w:rPr>
          <w:sz w:val="20"/>
          <w:szCs w:val="20"/>
        </w:rPr>
        <w:t>Credit Facility”) provided by our credit agreement. Total long-term borrowings as of June 25, 2022 and June 26, 2021 was $1,091.4 million and $1,151.4 million, respectively. See Item 1, Note 10 of this Quarterly Report</w:t>
      </w:r>
      <w:r>
        <w:rPr>
          <w:sz w:val="20"/>
          <w:szCs w:val="20"/>
        </w:rPr>
        <w:t>.</w:t>
      </w:r>
    </w:p>
    <w:p w:rsidR="00000000" w:rsidRDefault="00A749A6">
      <w:pPr>
        <w:pStyle w:val="a3"/>
        <w:spacing w:before="240" w:beforeAutospacing="0" w:after="0" w:afterAutospacing="0"/>
        <w:ind w:firstLine="555"/>
        <w:jc w:val="both"/>
        <w:rPr>
          <w:sz w:val="20"/>
          <w:szCs w:val="20"/>
        </w:rPr>
      </w:pPr>
      <w:r>
        <w:rPr>
          <w:sz w:val="20"/>
          <w:szCs w:val="20"/>
        </w:rPr>
        <w:t xml:space="preserve">Based upon our Consolidated EBITDA, </w:t>
      </w:r>
      <w:r>
        <w:rPr>
          <w:sz w:val="20"/>
          <w:szCs w:val="20"/>
        </w:rPr>
        <w:t>as defined in the credit agreement, for the trailing twelve-month period ended June 25, 2022, and outstanding borrowings and letters of credits issued under the Revolving Credit Facility as of June 25, 2022, our borrowing capacity under the Revolving Credi</w:t>
      </w:r>
      <w:r>
        <w:rPr>
          <w:sz w:val="20"/>
          <w:szCs w:val="20"/>
        </w:rPr>
        <w:t>t Facility was $359.7 million</w:t>
      </w:r>
      <w:r>
        <w:rPr>
          <w:sz w:val="20"/>
          <w:szCs w:val="20"/>
        </w:rPr>
        <w:t>.</w:t>
      </w:r>
      <w:r>
        <w:rPr>
          <w:sz w:val="20"/>
          <w:szCs w:val="20"/>
        </w:rPr>
        <w:t xml:space="preserve"> </w:t>
      </w:r>
    </w:p>
    <w:p w:rsidR="00000000" w:rsidRDefault="00A749A6">
      <w:pPr>
        <w:pStyle w:val="a3"/>
        <w:spacing w:before="240" w:beforeAutospacing="0" w:after="0" w:afterAutospacing="0"/>
        <w:ind w:firstLine="555"/>
        <w:jc w:val="both"/>
        <w:rPr>
          <w:sz w:val="20"/>
          <w:szCs w:val="20"/>
        </w:rPr>
      </w:pPr>
      <w:r>
        <w:rPr>
          <w:sz w:val="20"/>
          <w:szCs w:val="20"/>
        </w:rPr>
        <w:t xml:space="preserve">The aggregate amounts of long-term debt maturities subsequent to June 25, 2022 are as follows: fiscal 2022: $-0-; fiscal 2023: $-0-; fiscal 2024: $-0-; fiscal 2025: $91.4 million; fiscal 2026: $-0-; and thereafter: $1,000.0 </w:t>
      </w:r>
      <w:r>
        <w:rPr>
          <w:sz w:val="20"/>
          <w:szCs w:val="20"/>
        </w:rPr>
        <w:t>million</w:t>
      </w:r>
      <w:r>
        <w:rPr>
          <w:sz w:val="20"/>
          <w:szCs w:val="20"/>
        </w:rPr>
        <w:t>.</w:t>
      </w:r>
    </w:p>
    <w:p w:rsidR="00000000" w:rsidRDefault="00A749A6">
      <w:pPr>
        <w:pStyle w:val="a3"/>
        <w:spacing w:before="360" w:beforeAutospacing="0" w:after="0" w:afterAutospacing="0"/>
        <w:jc w:val="both"/>
        <w:rPr>
          <w:sz w:val="20"/>
          <w:szCs w:val="20"/>
        </w:rPr>
      </w:pPr>
      <w:r>
        <w:rPr>
          <w:b/>
          <w:bCs/>
          <w:i/>
          <w:iCs/>
          <w:sz w:val="20"/>
          <w:szCs w:val="20"/>
        </w:rPr>
        <w:t>Partnership Distribution</w:t>
      </w:r>
      <w:r>
        <w:rPr>
          <w:b/>
          <w:bCs/>
          <w:i/>
          <w:iCs/>
          <w:sz w:val="20"/>
          <w:szCs w:val="20"/>
        </w:rPr>
        <w:t>s</w:t>
      </w:r>
    </w:p>
    <w:p w:rsidR="00000000" w:rsidRDefault="00A749A6">
      <w:pPr>
        <w:pStyle w:val="a3"/>
        <w:spacing w:before="120" w:beforeAutospacing="0" w:after="0" w:afterAutospacing="0"/>
        <w:ind w:firstLine="555"/>
        <w:jc w:val="both"/>
        <w:rPr>
          <w:sz w:val="20"/>
          <w:szCs w:val="20"/>
        </w:rPr>
      </w:pPr>
      <w:r>
        <w:rPr>
          <w:sz w:val="20"/>
          <w:szCs w:val="20"/>
        </w:rPr>
        <w:t>We are required to make distributions in an amount equal to all of our Available Cash, as defined in our Third Amended and Restated Partnership Agreement, as amended (the “Partnership Agreement”), no more than 45 days aft</w:t>
      </w:r>
      <w:r>
        <w:rPr>
          <w:sz w:val="20"/>
          <w:szCs w:val="20"/>
        </w:rPr>
        <w:t>er the end of each fiscal quarter to holders of record on the applicable record dates. Available Cash, as defined in the Partnership Agreement, generally means all cash on hand at the end of the respective fiscal quarter less the amount of cash reserves es</w:t>
      </w:r>
      <w:r>
        <w:rPr>
          <w:sz w:val="20"/>
          <w:szCs w:val="20"/>
        </w:rPr>
        <w:t>tablished by the Board of Supervisors in its reasonable discretion for future cash requirements. These reserves are retained for the proper conduct of our business, the payment of debt principal and interest and for distributions during the next four quart</w:t>
      </w:r>
      <w:r>
        <w:rPr>
          <w:sz w:val="20"/>
          <w:szCs w:val="20"/>
        </w:rPr>
        <w:t>ers. The Board of Supervisors reviews the level of Available Cash on a quarterly basis based upon information provided by management</w:t>
      </w:r>
      <w:r>
        <w:rPr>
          <w:sz w:val="20"/>
          <w:szCs w:val="20"/>
        </w:rPr>
        <w:t>.</w:t>
      </w:r>
    </w:p>
    <w:p w:rsidR="00000000" w:rsidRDefault="00A749A6">
      <w:pPr>
        <w:pStyle w:val="a3"/>
        <w:spacing w:before="240" w:beforeAutospacing="0" w:after="0" w:afterAutospacing="0"/>
        <w:ind w:firstLine="555"/>
        <w:jc w:val="both"/>
        <w:rPr>
          <w:sz w:val="20"/>
          <w:szCs w:val="20"/>
        </w:rPr>
      </w:pPr>
      <w:r>
        <w:rPr>
          <w:sz w:val="20"/>
          <w:szCs w:val="20"/>
        </w:rPr>
        <w:t>On July 21, 2022, we announced a quarterly distribution of $0.325 per Common Unit, or $1.30 on an annualized basis, in res</w:t>
      </w:r>
      <w:r>
        <w:rPr>
          <w:sz w:val="20"/>
          <w:szCs w:val="20"/>
        </w:rPr>
        <w:t>pect of the third quarter of fiscal 2022, payable on August 9, 2022 to holders of record on August 2, 2022</w:t>
      </w:r>
      <w:r>
        <w:rPr>
          <w:sz w:val="20"/>
          <w:szCs w:val="20"/>
        </w:rPr>
        <w:t>.</w:t>
      </w:r>
      <w:r>
        <w:rPr>
          <w:sz w:val="20"/>
          <w:szCs w:val="20"/>
        </w:rPr>
        <w:t xml:space="preserve"> </w:t>
      </w:r>
    </w:p>
    <w:p w:rsidR="00000000" w:rsidRDefault="00A749A6">
      <w:pPr>
        <w:pStyle w:val="a3"/>
        <w:spacing w:before="360" w:beforeAutospacing="0" w:after="0" w:afterAutospacing="0"/>
        <w:jc w:val="both"/>
        <w:rPr>
          <w:sz w:val="20"/>
          <w:szCs w:val="20"/>
        </w:rPr>
      </w:pPr>
      <w:r>
        <w:rPr>
          <w:b/>
          <w:bCs/>
          <w:i/>
          <w:iCs/>
          <w:sz w:val="20"/>
          <w:szCs w:val="20"/>
        </w:rPr>
        <w:t>Other Commitment</w:t>
      </w:r>
      <w:r>
        <w:rPr>
          <w:b/>
          <w:bCs/>
          <w:i/>
          <w:iCs/>
          <w:sz w:val="20"/>
          <w:szCs w:val="20"/>
        </w:rPr>
        <w:t>s</w:t>
      </w:r>
    </w:p>
    <w:p w:rsidR="00000000" w:rsidRDefault="00A749A6">
      <w:pPr>
        <w:pStyle w:val="a3"/>
        <w:spacing w:before="120" w:beforeAutospacing="0" w:after="0" w:afterAutospacing="0"/>
        <w:ind w:firstLine="555"/>
        <w:jc w:val="both"/>
        <w:rPr>
          <w:sz w:val="20"/>
          <w:szCs w:val="20"/>
        </w:rPr>
      </w:pPr>
      <w:r>
        <w:rPr>
          <w:sz w:val="20"/>
          <w:szCs w:val="20"/>
        </w:rPr>
        <w:t>We have a noncontributory, cash balance format, defined benefit pension plan which was frozen to new participants effective January 1, 2000. Effective January 1, 2003, the defined benefit pension plan was amended such that future service credits ceased and</w:t>
      </w:r>
      <w:r>
        <w:rPr>
          <w:sz w:val="20"/>
          <w:szCs w:val="20"/>
        </w:rPr>
        <w:t xml:space="preserve"> eligible employees would receive interest credits only toward their ultimate retirement benefit. We also provide postretirement health care and life insurance benefits for certain retired employees under a plan that was frozen to new participants effectiv</w:t>
      </w:r>
      <w:r>
        <w:rPr>
          <w:sz w:val="20"/>
          <w:szCs w:val="20"/>
        </w:rPr>
        <w:t>e March 31, 1998. At June 25, 2022, we had a liability for the defined benefit pension plan and accrued retiree health and life benefits of $23.6 million and $7.3 million, respectively</w:t>
      </w:r>
      <w:r>
        <w:rPr>
          <w:sz w:val="20"/>
          <w:szCs w:val="20"/>
        </w:rPr>
        <w:t>.</w:t>
      </w:r>
    </w:p>
    <w:p w:rsidR="00000000" w:rsidRDefault="00A749A6">
      <w:pPr>
        <w:pStyle w:val="a3"/>
        <w:spacing w:before="240" w:beforeAutospacing="0" w:after="0" w:afterAutospacing="0"/>
        <w:ind w:firstLine="555"/>
        <w:jc w:val="both"/>
        <w:rPr>
          <w:sz w:val="20"/>
          <w:szCs w:val="20"/>
        </w:rPr>
      </w:pPr>
      <w:r>
        <w:rPr>
          <w:sz w:val="20"/>
          <w:szCs w:val="20"/>
        </w:rPr>
        <w:t>We are self-insured for general and product, workers’ compensation and</w:t>
      </w:r>
      <w:r>
        <w:rPr>
          <w:sz w:val="20"/>
          <w:szCs w:val="20"/>
        </w:rPr>
        <w:t xml:space="preserve"> automobile liabilities up to predetermined thresholds above which third party insurance applies. At June 25, 2022, we had accrued insurance liabilities of $65.4 million, and a receivable of $15.7 million related to the amount of the liability expected to </w:t>
      </w:r>
      <w:r>
        <w:rPr>
          <w:sz w:val="20"/>
          <w:szCs w:val="20"/>
        </w:rPr>
        <w:t>be covered by insurance</w:t>
      </w:r>
      <w:r>
        <w:rPr>
          <w:sz w:val="20"/>
          <w:szCs w:val="20"/>
        </w:rPr>
        <w:t>.</w:t>
      </w:r>
    </w:p>
    <w:p w:rsidR="00000000" w:rsidRDefault="00A749A6">
      <w:pPr>
        <w:pStyle w:val="a3"/>
        <w:spacing w:before="360" w:beforeAutospacing="0" w:after="0" w:afterAutospacing="0"/>
        <w:jc w:val="both"/>
        <w:rPr>
          <w:sz w:val="20"/>
          <w:szCs w:val="20"/>
        </w:rPr>
      </w:pPr>
      <w:r>
        <w:rPr>
          <w:b/>
          <w:bCs/>
          <w:i/>
          <w:iCs/>
          <w:sz w:val="20"/>
          <w:szCs w:val="20"/>
        </w:rPr>
        <w:t>Legal Matter</w:t>
      </w:r>
      <w:r>
        <w:rPr>
          <w:b/>
          <w:bCs/>
          <w:i/>
          <w:iCs/>
          <w:sz w:val="20"/>
          <w:szCs w:val="20"/>
        </w:rPr>
        <w:t>s</w:t>
      </w:r>
    </w:p>
    <w:p w:rsidR="00000000" w:rsidRDefault="00A749A6">
      <w:pPr>
        <w:pStyle w:val="a3"/>
        <w:spacing w:before="120" w:beforeAutospacing="0" w:after="0" w:afterAutospacing="0"/>
        <w:ind w:firstLine="555"/>
        <w:jc w:val="both"/>
        <w:rPr>
          <w:sz w:val="20"/>
          <w:szCs w:val="20"/>
        </w:rPr>
      </w:pPr>
      <w:r>
        <w:rPr>
          <w:sz w:val="20"/>
          <w:szCs w:val="20"/>
        </w:rPr>
        <w:t>See Item 1, Note 13, Legal Matters subsection of this Quarterly Report</w:t>
      </w:r>
      <w:r>
        <w:rPr>
          <w:sz w:val="20"/>
          <w:szCs w:val="20"/>
        </w:rPr>
        <w:t>.</w:t>
      </w:r>
    </w:p>
    <w:p w:rsidR="00000000" w:rsidRDefault="00A749A6">
      <w:pPr>
        <w:pStyle w:val="a3"/>
        <w:spacing w:before="12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3</w:t>
      </w:r>
      <w:r>
        <w:rPr>
          <w:sz w:val="20"/>
          <w:szCs w:val="20"/>
        </w:rPr>
        <w:t>4</w:t>
      </w:r>
    </w:p>
    <w:p w:rsidR="00000000" w:rsidRDefault="00A749A6">
      <w:pPr>
        <w:rPr>
          <w:rFonts w:eastAsia="Times New Roman"/>
        </w:rPr>
      </w:pPr>
      <w:r>
        <w:rPr>
          <w:rFonts w:eastAsia="Times New Roman"/>
        </w:rPr>
        <w:pict>
          <v:rect id="_x0000_i1062" style="width:0;height:1.5pt" o:hralign="center" o:hrstd="t" o:hr="t" fillcolor="#a0a0a0" stroked="f"/>
        </w:pict>
      </w:r>
    </w:p>
    <w:p w:rsidR="00000000" w:rsidRDefault="00A749A6">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120" w:beforeAutospacing="0" w:after="0" w:afterAutospacing="0"/>
        <w:jc w:val="both"/>
        <w:rPr>
          <w:sz w:val="20"/>
          <w:szCs w:val="20"/>
        </w:rPr>
      </w:pPr>
      <w:r>
        <w:rPr>
          <w:b/>
          <w:bCs/>
          <w:sz w:val="20"/>
          <w:szCs w:val="20"/>
        </w:rPr>
        <w:t>ITEM 3. QUANTITATIVE A</w:t>
      </w:r>
      <w:r>
        <w:rPr>
          <w:b/>
          <w:bCs/>
          <w:sz w:val="20"/>
          <w:szCs w:val="20"/>
        </w:rPr>
        <w:t>ND QUALITA</w:t>
      </w:r>
      <w:r>
        <w:rPr>
          <w:b/>
          <w:bCs/>
          <w:sz w:val="20"/>
          <w:szCs w:val="20"/>
        </w:rPr>
        <w:t>T</w:t>
      </w:r>
      <w:r>
        <w:rPr>
          <w:b/>
          <w:bCs/>
          <w:sz w:val="20"/>
          <w:szCs w:val="20"/>
        </w:rPr>
        <w:t>IVE DISCLOSURES ABOUT MARKET RIS</w:t>
      </w:r>
      <w:r>
        <w:rPr>
          <w:b/>
          <w:bCs/>
          <w:sz w:val="20"/>
          <w:szCs w:val="20"/>
        </w:rPr>
        <w:t>K</w:t>
      </w:r>
    </w:p>
    <w:p w:rsidR="00000000" w:rsidRDefault="00A749A6">
      <w:pPr>
        <w:pStyle w:val="a3"/>
        <w:spacing w:before="120" w:beforeAutospacing="0" w:after="0" w:afterAutospacing="0"/>
        <w:jc w:val="both"/>
        <w:rPr>
          <w:sz w:val="20"/>
          <w:szCs w:val="20"/>
        </w:rPr>
      </w:pPr>
      <w:r>
        <w:rPr>
          <w:b/>
          <w:bCs/>
          <w:sz w:val="20"/>
          <w:szCs w:val="20"/>
        </w:rPr>
        <w:t>Commodity Price Ris</w:t>
      </w:r>
      <w:r>
        <w:rPr>
          <w:b/>
          <w:bCs/>
          <w:sz w:val="20"/>
          <w:szCs w:val="20"/>
        </w:rPr>
        <w:t>k</w:t>
      </w:r>
    </w:p>
    <w:p w:rsidR="00000000" w:rsidRDefault="00A749A6">
      <w:pPr>
        <w:pStyle w:val="a3"/>
        <w:spacing w:before="120" w:beforeAutospacing="0" w:after="0" w:afterAutospacing="0"/>
        <w:ind w:firstLine="555"/>
        <w:jc w:val="both"/>
        <w:rPr>
          <w:sz w:val="20"/>
          <w:szCs w:val="20"/>
        </w:rPr>
      </w:pPr>
      <w:r>
        <w:rPr>
          <w:sz w:val="20"/>
          <w:szCs w:val="20"/>
        </w:rPr>
        <w:t xml:space="preserve">We enter into product supply contracts that are generally one-year agreements subject to annual renewal, and also purchase product on the open market. Our propane supply contracts typically </w:t>
      </w:r>
      <w:r>
        <w:rPr>
          <w:sz w:val="20"/>
          <w:szCs w:val="20"/>
        </w:rPr>
        <w:t>provide for pricing based upon index formulas using the posted prices established at major supply points such as Mont Belvieu, Texas, or Conway, Kansas (plus transportation costs) at the time of delivery. In addition, to supplement our annual purchase requ</w:t>
      </w:r>
      <w:r>
        <w:rPr>
          <w:sz w:val="20"/>
          <w:szCs w:val="20"/>
        </w:rPr>
        <w:t>irements, we may utilize forward fixed price purchase contracts to acquire a portion of the propane that we resell to our customers, which allows us to manage our exposure to unfavorable changes in commodity prices and to ensure adequate physical supply. T</w:t>
      </w:r>
      <w:r>
        <w:rPr>
          <w:sz w:val="20"/>
          <w:szCs w:val="20"/>
        </w:rPr>
        <w:t>he percentage of contract purchases, and the amount of supply contracted for under forward contracts at fixed prices, will vary from year to year based on market conditions. In certain instances, and when market conditions are favorable, we are able to pur</w:t>
      </w:r>
      <w:r>
        <w:rPr>
          <w:sz w:val="20"/>
          <w:szCs w:val="20"/>
        </w:rPr>
        <w:t>chase product under our supply arrangements at a discount to the market</w:t>
      </w:r>
      <w:r>
        <w:rPr>
          <w:sz w:val="20"/>
          <w:szCs w:val="20"/>
        </w:rPr>
        <w:t>.</w:t>
      </w:r>
    </w:p>
    <w:p w:rsidR="00000000" w:rsidRDefault="00A749A6">
      <w:pPr>
        <w:pStyle w:val="a3"/>
        <w:spacing w:before="240" w:beforeAutospacing="0" w:after="0" w:afterAutospacing="0"/>
        <w:ind w:firstLine="555"/>
        <w:jc w:val="both"/>
        <w:rPr>
          <w:sz w:val="20"/>
          <w:szCs w:val="20"/>
        </w:rPr>
      </w:pPr>
      <w:r>
        <w:rPr>
          <w:sz w:val="20"/>
          <w:szCs w:val="20"/>
        </w:rPr>
        <w:t>Product cost changes can occur rapidly over a short period of time and can impact profitability. We attempt to reduce commodity price risk by pricing product on a short-term basis. Th</w:t>
      </w:r>
      <w:r>
        <w:rPr>
          <w:sz w:val="20"/>
          <w:szCs w:val="20"/>
        </w:rPr>
        <w:t>e level of priced, physical product maintained in storage facilities and at our customer service centers for immediate sale to our customers will vary depending on several factors, including, but not limited to, price, supply and demand dynamics for a give</w:t>
      </w:r>
      <w:r>
        <w:rPr>
          <w:sz w:val="20"/>
          <w:szCs w:val="20"/>
        </w:rPr>
        <w:t>n time of the year. Typically, our on hand priced position does not exceed more than four to eight weeks of our supply needs, depending on the time of the year. In the course of normal operations, we routinely enter into contracts such as forward priced ph</w:t>
      </w:r>
      <w:r>
        <w:rPr>
          <w:sz w:val="20"/>
          <w:szCs w:val="20"/>
        </w:rPr>
        <w:t>ysical contracts for the purchase or sale of propane and fuel oil that, under accounting rules for derivative instruments and hedging activities, qualify for and are designated as normal purchase or normal sale contracts. Such contracts are exempted from f</w:t>
      </w:r>
      <w:r>
        <w:rPr>
          <w:sz w:val="20"/>
          <w:szCs w:val="20"/>
        </w:rPr>
        <w:t>air value accounting and are accounted for at the time product is purchased or sold under the related contract</w:t>
      </w:r>
      <w:r>
        <w:rPr>
          <w:sz w:val="20"/>
          <w:szCs w:val="20"/>
        </w:rPr>
        <w:t>.</w:t>
      </w:r>
    </w:p>
    <w:p w:rsidR="00000000" w:rsidRDefault="00A749A6">
      <w:pPr>
        <w:pStyle w:val="a3"/>
        <w:spacing w:before="240" w:beforeAutospacing="0" w:after="0" w:afterAutospacing="0"/>
        <w:ind w:firstLine="555"/>
        <w:jc w:val="both"/>
        <w:rPr>
          <w:sz w:val="20"/>
          <w:szCs w:val="20"/>
        </w:rPr>
      </w:pPr>
      <w:r>
        <w:rPr>
          <w:sz w:val="20"/>
          <w:szCs w:val="20"/>
        </w:rPr>
        <w:t>Under our hedging and risk management strategies, we enter into a combination of exchange-traded futures and options contracts and, in certain i</w:t>
      </w:r>
      <w:r>
        <w:rPr>
          <w:sz w:val="20"/>
          <w:szCs w:val="20"/>
        </w:rPr>
        <w:t xml:space="preserve">nstances, over-the-counter options and swap contracts (collectively, “derivative instruments”) to manage the price risk associated with physical product and with future purchases of the commodities used in our operations, principally propane and fuel oil, </w:t>
      </w:r>
      <w:r>
        <w:rPr>
          <w:sz w:val="20"/>
          <w:szCs w:val="20"/>
        </w:rPr>
        <w:t>as well as to help ensure the availability of product during periods of high demand. In addition, we sell propane and fuel oil to customers at fixed prices, and enter into derivative instruments to hedge a portion of our exposure to fluctuations in commodi</w:t>
      </w:r>
      <w:r>
        <w:rPr>
          <w:sz w:val="20"/>
          <w:szCs w:val="20"/>
        </w:rPr>
        <w:t>ty prices as a result of selling the fixed price contracts. We do not use derivative instruments for speculative or trading purposes. Futures and swap contracts require that we sell or acquire propane or fuel oil at a fixed price for delivery at fixed futu</w:t>
      </w:r>
      <w:r>
        <w:rPr>
          <w:sz w:val="20"/>
          <w:szCs w:val="20"/>
        </w:rPr>
        <w:t>re dates. An option contract allows, but does not require, its holder to buy or sell propane or fuel oil at a specified price during a specified time period. However, the writer of an option contract must fulfill the obligation of the option contract, shou</w:t>
      </w:r>
      <w:r>
        <w:rPr>
          <w:sz w:val="20"/>
          <w:szCs w:val="20"/>
        </w:rPr>
        <w:t>ld the holder choose to exercise the option. At expiration, the contracts are settled by the delivery of the product to the respective party or are settled by the payment of a net amount equal to the difference between the then market price and the fixed c</w:t>
      </w:r>
      <w:r>
        <w:rPr>
          <w:sz w:val="20"/>
          <w:szCs w:val="20"/>
        </w:rPr>
        <w:t>ontract price or option exercise price. To the extent that we utilize derivative instruments to manage exposure to commodity price risk and commodity prices move adversely in relation to the contracts, we could suffer losses on those derivative instruments</w:t>
      </w:r>
      <w:r>
        <w:rPr>
          <w:sz w:val="20"/>
          <w:szCs w:val="20"/>
        </w:rPr>
        <w:t xml:space="preserve"> when settled. Conversely, if prices move favorably, we could realize gains. Under our hedging and risk management strategy, realized gains or losses on derivative instruments will typically offset losses or gains on the physical inventory once the product</w:t>
      </w:r>
      <w:r>
        <w:rPr>
          <w:sz w:val="20"/>
          <w:szCs w:val="20"/>
        </w:rPr>
        <w:t xml:space="preserve"> is sold to customers at market prices, or delivered to customers as it pertains to fixed price contracts</w:t>
      </w:r>
      <w:r>
        <w:rPr>
          <w:sz w:val="20"/>
          <w:szCs w:val="20"/>
        </w:rPr>
        <w:t>.</w:t>
      </w:r>
    </w:p>
    <w:p w:rsidR="00000000" w:rsidRDefault="00A749A6">
      <w:pPr>
        <w:pStyle w:val="a3"/>
        <w:spacing w:before="240" w:beforeAutospacing="0" w:after="0" w:afterAutospacing="0"/>
        <w:ind w:firstLine="555"/>
        <w:jc w:val="both"/>
        <w:rPr>
          <w:sz w:val="20"/>
          <w:szCs w:val="20"/>
        </w:rPr>
      </w:pPr>
      <w:r>
        <w:rPr>
          <w:sz w:val="20"/>
          <w:szCs w:val="20"/>
        </w:rPr>
        <w:t>Futures are traded with brokers of the NYMEX and require daily cash settlements in margin accounts. Forward contracts are generally settled at the ex</w:t>
      </w:r>
      <w:r>
        <w:rPr>
          <w:sz w:val="20"/>
          <w:szCs w:val="20"/>
        </w:rPr>
        <w:t>piration of the contract term by physical delivery, and swap and options contracts are generally settled at expiration through a net settlement mechanism. Market risks associated with our derivative instruments are monitored daily for compliance with our H</w:t>
      </w:r>
      <w:r>
        <w:rPr>
          <w:sz w:val="20"/>
          <w:szCs w:val="20"/>
        </w:rPr>
        <w:t>edging and Risk Management Policy which includes volume limits for open positions. Open inventory positions are reviewed and managed daily as to exposures to changing market prices</w:t>
      </w:r>
      <w:r>
        <w:rPr>
          <w:sz w:val="20"/>
          <w:szCs w:val="20"/>
        </w:rPr>
        <w:t>.</w:t>
      </w:r>
    </w:p>
    <w:p w:rsidR="00000000" w:rsidRDefault="00A749A6">
      <w:pPr>
        <w:pStyle w:val="a3"/>
        <w:spacing w:before="360" w:beforeAutospacing="0" w:after="0" w:afterAutospacing="0"/>
        <w:jc w:val="both"/>
        <w:rPr>
          <w:sz w:val="20"/>
          <w:szCs w:val="20"/>
        </w:rPr>
      </w:pPr>
      <w:r>
        <w:rPr>
          <w:b/>
          <w:bCs/>
          <w:sz w:val="20"/>
          <w:szCs w:val="20"/>
        </w:rPr>
        <w:t>Credit Ris</w:t>
      </w:r>
      <w:r>
        <w:rPr>
          <w:b/>
          <w:bCs/>
          <w:sz w:val="20"/>
          <w:szCs w:val="20"/>
        </w:rPr>
        <w:t>k</w:t>
      </w:r>
    </w:p>
    <w:p w:rsidR="00000000" w:rsidRDefault="00A749A6">
      <w:pPr>
        <w:pStyle w:val="a3"/>
        <w:spacing w:before="120" w:beforeAutospacing="0" w:after="0" w:afterAutospacing="0"/>
        <w:ind w:firstLine="555"/>
        <w:jc w:val="both"/>
        <w:rPr>
          <w:sz w:val="20"/>
          <w:szCs w:val="20"/>
        </w:rPr>
      </w:pPr>
      <w:r>
        <w:rPr>
          <w:sz w:val="20"/>
          <w:szCs w:val="20"/>
        </w:rPr>
        <w:t>Exchange-traded futures and options contracts are guaranteed b</w:t>
      </w:r>
      <w:r>
        <w:rPr>
          <w:sz w:val="20"/>
          <w:szCs w:val="20"/>
        </w:rPr>
        <w:t>y the NYMEX and, as a result, have minimal credit risk. We are subject to credit risk with over-the-counter forward, swap and options contracts to the extent the counterparties do not perform. We evaluate the financial condition of each counterparty with w</w:t>
      </w:r>
      <w:r>
        <w:rPr>
          <w:sz w:val="20"/>
          <w:szCs w:val="20"/>
        </w:rPr>
        <w:t>hich we conduct business and establish credit limits to reduce exposure to the risk of non-performance by our counterparties</w:t>
      </w:r>
      <w:r>
        <w:rPr>
          <w:sz w:val="20"/>
          <w:szCs w:val="20"/>
        </w:rPr>
        <w:t>.</w:t>
      </w:r>
    </w:p>
    <w:p w:rsidR="00000000" w:rsidRDefault="00A749A6">
      <w:pPr>
        <w:pStyle w:val="a3"/>
        <w:spacing w:before="360" w:beforeAutospacing="0" w:after="0" w:afterAutospacing="0"/>
        <w:jc w:val="both"/>
        <w:rPr>
          <w:sz w:val="20"/>
          <w:szCs w:val="20"/>
        </w:rPr>
      </w:pPr>
      <w:r>
        <w:rPr>
          <w:b/>
          <w:bCs/>
          <w:sz w:val="20"/>
          <w:szCs w:val="20"/>
        </w:rPr>
        <w:t>Interest Rate Ris</w:t>
      </w:r>
      <w:r>
        <w:rPr>
          <w:b/>
          <w:bCs/>
          <w:sz w:val="20"/>
          <w:szCs w:val="20"/>
        </w:rPr>
        <w:t>k</w:t>
      </w:r>
    </w:p>
    <w:p w:rsidR="00000000" w:rsidRDefault="00A749A6">
      <w:pPr>
        <w:pStyle w:val="a3"/>
        <w:spacing w:before="120" w:beforeAutospacing="0" w:after="0" w:afterAutospacing="0"/>
        <w:ind w:firstLine="555"/>
        <w:jc w:val="both"/>
        <w:rPr>
          <w:sz w:val="20"/>
          <w:szCs w:val="20"/>
        </w:rPr>
      </w:pPr>
      <w:r>
        <w:rPr>
          <w:sz w:val="20"/>
          <w:szCs w:val="20"/>
        </w:rPr>
        <w:t>A portion of our borrowings bear interest at prevailing interest rates based upon, at the Operating Partnership</w:t>
      </w:r>
      <w:r>
        <w:rPr>
          <w:sz w:val="20"/>
          <w:szCs w:val="20"/>
        </w:rPr>
        <w:t xml:space="preserve">’s option, LIBOR, plus an applicable margin or the base rate, defined as the higher of the Federal Funds Rate plus ½ of 1% or the agent bank’s prime rate, or LIBOR plus 1%, plus the applicable margin. The applicable margin is dependent on the level of our </w:t>
      </w:r>
      <w:r>
        <w:rPr>
          <w:sz w:val="20"/>
          <w:szCs w:val="20"/>
        </w:rPr>
        <w:t>total consolidated leverage (the total ratio of debt to consolidated EBITDA). Therefore, we are subject to interest rate risk on the variable component of the interest rate. From time to time, we enter into interest rate swap agreements to manage a part of</w:t>
      </w:r>
      <w:r>
        <w:rPr>
          <w:sz w:val="20"/>
          <w:szCs w:val="20"/>
        </w:rPr>
        <w:t xml:space="preserve"> our variable interest rate risk. The interest rate swaps are designated as cash flow hedges. Changes in the fair value of the interest rate swaps are recognized in other comprehensive income (“OCI”) until the hedged item is recognized in earnings. At June</w:t>
      </w:r>
      <w:r>
        <w:rPr>
          <w:sz w:val="20"/>
          <w:szCs w:val="20"/>
        </w:rPr>
        <w:t xml:space="preserve"> 25, 2022, we were not party to an interest rate swap agreement</w:t>
      </w:r>
      <w:r>
        <w:rPr>
          <w:sz w:val="20"/>
          <w:szCs w:val="20"/>
        </w:rPr>
        <w:t>.</w:t>
      </w:r>
    </w:p>
    <w:p w:rsidR="00000000" w:rsidRDefault="00A749A6">
      <w:pPr>
        <w:pStyle w:val="a3"/>
        <w:spacing w:before="0" w:beforeAutospacing="0" w:after="0" w:afterAutospacing="0"/>
        <w:jc w:val="center"/>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3</w:t>
      </w:r>
      <w:r>
        <w:rPr>
          <w:sz w:val="20"/>
          <w:szCs w:val="20"/>
        </w:rPr>
        <w:t>5</w:t>
      </w:r>
    </w:p>
    <w:p w:rsidR="00000000" w:rsidRDefault="00A749A6">
      <w:pPr>
        <w:rPr>
          <w:rFonts w:eastAsia="Times New Roman"/>
        </w:rPr>
      </w:pPr>
      <w:r>
        <w:rPr>
          <w:rFonts w:eastAsia="Times New Roman"/>
        </w:rPr>
        <w:pict>
          <v:rect id="_x0000_i1063" style="width:0;height:1.5pt" o:hralign="center" o:hrstd="t" o:hr="t" fillcolor="#a0a0a0" stroked="f"/>
        </w:pict>
      </w:r>
    </w:p>
    <w:p w:rsidR="00000000" w:rsidRDefault="00A749A6">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360" w:beforeAutospacing="0" w:after="0" w:afterAutospacing="0"/>
        <w:jc w:val="both"/>
        <w:rPr>
          <w:sz w:val="20"/>
          <w:szCs w:val="20"/>
        </w:rPr>
      </w:pPr>
      <w:r>
        <w:rPr>
          <w:b/>
          <w:bCs/>
          <w:sz w:val="20"/>
          <w:szCs w:val="20"/>
        </w:rPr>
        <w:t>Derivative Instruments and Hedging Activitie</w:t>
      </w:r>
      <w:r>
        <w:rPr>
          <w:b/>
          <w:bCs/>
          <w:sz w:val="20"/>
          <w:szCs w:val="20"/>
        </w:rPr>
        <w:t>s</w:t>
      </w:r>
    </w:p>
    <w:p w:rsidR="00000000" w:rsidRDefault="00A749A6">
      <w:pPr>
        <w:pStyle w:val="a3"/>
        <w:spacing w:before="120" w:beforeAutospacing="0" w:after="0" w:afterAutospacing="0"/>
        <w:ind w:firstLine="555"/>
        <w:jc w:val="both"/>
        <w:rPr>
          <w:sz w:val="20"/>
          <w:szCs w:val="20"/>
        </w:rPr>
      </w:pPr>
      <w:r>
        <w:rPr>
          <w:sz w:val="20"/>
          <w:szCs w:val="20"/>
        </w:rPr>
        <w:t>All of our derivative instruments are reported on the balance sheet at their fair values. On t</w:t>
      </w:r>
      <w:r>
        <w:rPr>
          <w:sz w:val="20"/>
          <w:szCs w:val="20"/>
        </w:rPr>
        <w:t>he date that derivative instruments are entered into, we make a determination as to whether the derivative instrument qualifies for designation as a hedge. Changes in the fair value of derivative instruments are recorded each period in current period earni</w:t>
      </w:r>
      <w:r>
        <w:rPr>
          <w:sz w:val="20"/>
          <w:szCs w:val="20"/>
        </w:rPr>
        <w:t xml:space="preserve">ngs or OCI, depending on whether a derivative instrument is designated as a hedge and, if so, the type of hedge. For derivative instruments designated as cash flow hedges, we formally assess, both at the hedge contract’s inception and on an ongoing basis, </w:t>
      </w:r>
      <w:r>
        <w:rPr>
          <w:sz w:val="20"/>
          <w:szCs w:val="20"/>
        </w:rPr>
        <w:t>whether the hedge contract is highly effective in offsetting changes in cash flows of hedged items. Changes in the fair value of derivative instruments designated as cash flow hedges are reported in OCI to the extent effective and reclassified into earning</w:t>
      </w:r>
      <w:r>
        <w:rPr>
          <w:sz w:val="20"/>
          <w:szCs w:val="20"/>
        </w:rPr>
        <w:t>s during the same period in which the hedged item affects earnings. The mark-to-market gains or losses on ineffective portions of cash flow hedges are immediately recognized in earnings. Changes in the fair value of derivative instruments that are not desi</w:t>
      </w:r>
      <w:r>
        <w:rPr>
          <w:sz w:val="20"/>
          <w:szCs w:val="20"/>
        </w:rPr>
        <w:t>gnated as cash flow hedges, and that do not meet the normal purchase and normal sale exemption, are recorded in earnings as they occur. Cash flows associated with derivative instruments are reported as operating activities within the condensed consolidated</w:t>
      </w:r>
      <w:r>
        <w:rPr>
          <w:sz w:val="20"/>
          <w:szCs w:val="20"/>
        </w:rPr>
        <w:t xml:space="preserve"> statement of cash flows</w:t>
      </w:r>
      <w:r>
        <w:rPr>
          <w:sz w:val="20"/>
          <w:szCs w:val="20"/>
        </w:rPr>
        <w:t>.</w:t>
      </w:r>
    </w:p>
    <w:p w:rsidR="00000000" w:rsidRDefault="00A749A6">
      <w:pPr>
        <w:pStyle w:val="a3"/>
        <w:spacing w:before="360" w:beforeAutospacing="0" w:after="0" w:afterAutospacing="0"/>
        <w:jc w:val="both"/>
        <w:rPr>
          <w:sz w:val="20"/>
          <w:szCs w:val="20"/>
        </w:rPr>
      </w:pPr>
      <w:r>
        <w:rPr>
          <w:b/>
          <w:bCs/>
          <w:sz w:val="20"/>
          <w:szCs w:val="20"/>
        </w:rPr>
        <w:t>Sensitivity Analysi</w:t>
      </w:r>
      <w:r>
        <w:rPr>
          <w:b/>
          <w:bCs/>
          <w:sz w:val="20"/>
          <w:szCs w:val="20"/>
        </w:rPr>
        <w:t>s</w:t>
      </w:r>
    </w:p>
    <w:p w:rsidR="00000000" w:rsidRDefault="00A749A6">
      <w:pPr>
        <w:pStyle w:val="a3"/>
        <w:spacing w:before="120" w:beforeAutospacing="0" w:after="0" w:afterAutospacing="0"/>
        <w:ind w:firstLine="555"/>
        <w:jc w:val="both"/>
        <w:rPr>
          <w:sz w:val="20"/>
          <w:szCs w:val="20"/>
        </w:rPr>
      </w:pPr>
      <w:r>
        <w:rPr>
          <w:sz w:val="20"/>
          <w:szCs w:val="20"/>
        </w:rPr>
        <w:t>In an effort to estimate our exposure to unfavorable market price changes in commodities related to our open positions under derivative instruments, we developed a model that incorporates the following data an</w:t>
      </w:r>
      <w:r>
        <w:rPr>
          <w:sz w:val="20"/>
          <w:szCs w:val="20"/>
        </w:rPr>
        <w:t>d assumptions</w:t>
      </w:r>
      <w:r>
        <w:rPr>
          <w:sz w:val="20"/>
          <w:szCs w:val="20"/>
        </w:rPr>
        <w:t>:</w:t>
      </w:r>
    </w:p>
    <w:p w:rsidR="00000000" w:rsidRDefault="00A749A6">
      <w:pPr>
        <w:jc w:val="both"/>
        <w:divId w:val="474832796"/>
        <w:rPr>
          <w:rFonts w:eastAsia="Times New Roman"/>
        </w:rPr>
      </w:pPr>
      <w:r>
        <w:rPr>
          <w:rFonts w:eastAsia="Times New Roman"/>
          <w:sz w:val="20"/>
          <w:szCs w:val="20"/>
        </w:rPr>
        <w:t>A</w:t>
      </w:r>
      <w:r>
        <w:rPr>
          <w:rFonts w:eastAsia="Times New Roman"/>
          <w:sz w:val="20"/>
          <w:szCs w:val="20"/>
        </w:rPr>
        <w:t>.</w:t>
      </w:r>
    </w:p>
    <w:p w:rsidR="00000000" w:rsidRDefault="00A749A6">
      <w:pPr>
        <w:jc w:val="both"/>
        <w:divId w:val="1568495289"/>
        <w:rPr>
          <w:rFonts w:eastAsia="Times New Roman"/>
        </w:rPr>
      </w:pPr>
      <w:r>
        <w:rPr>
          <w:rFonts w:eastAsia="Times New Roman"/>
          <w:sz w:val="20"/>
          <w:szCs w:val="20"/>
        </w:rPr>
        <w:t>The fair value of open positions as of June 25, 2022</w:t>
      </w:r>
      <w:r>
        <w:rPr>
          <w:rFonts w:eastAsia="Times New Roman"/>
          <w:sz w:val="20"/>
          <w:szCs w:val="20"/>
        </w:rPr>
        <w:t>.</w:t>
      </w:r>
    </w:p>
    <w:p w:rsidR="00000000" w:rsidRDefault="00A749A6">
      <w:pPr>
        <w:jc w:val="both"/>
        <w:divId w:val="1240015947"/>
        <w:rPr>
          <w:rFonts w:eastAsia="Times New Roman"/>
        </w:rPr>
      </w:pPr>
      <w:r>
        <w:rPr>
          <w:rFonts w:eastAsia="Times New Roman"/>
          <w:sz w:val="20"/>
          <w:szCs w:val="20"/>
        </w:rPr>
        <w:t>B</w:t>
      </w:r>
      <w:r>
        <w:rPr>
          <w:rFonts w:eastAsia="Times New Roman"/>
          <w:sz w:val="20"/>
          <w:szCs w:val="20"/>
        </w:rPr>
        <w:t>.</w:t>
      </w:r>
    </w:p>
    <w:p w:rsidR="00000000" w:rsidRDefault="00A749A6">
      <w:pPr>
        <w:jc w:val="both"/>
        <w:divId w:val="250550913"/>
        <w:rPr>
          <w:rFonts w:eastAsia="Times New Roman"/>
        </w:rPr>
      </w:pPr>
      <w:r>
        <w:rPr>
          <w:rFonts w:eastAsia="Times New Roman"/>
          <w:sz w:val="20"/>
          <w:szCs w:val="20"/>
        </w:rPr>
        <w:t>The market prices for the underlying commodities used to determine A. above were adjusted adversely by a hypothetical 10% change and compared to the fair value amounts in A. above t</w:t>
      </w:r>
      <w:r>
        <w:rPr>
          <w:rFonts w:eastAsia="Times New Roman"/>
          <w:sz w:val="20"/>
          <w:szCs w:val="20"/>
        </w:rPr>
        <w:t>o project the potential negative impact on earnings that would be recognized for the respective scenario</w:t>
      </w:r>
      <w:r>
        <w:rPr>
          <w:rFonts w:eastAsia="Times New Roman"/>
          <w:sz w:val="20"/>
          <w:szCs w:val="20"/>
        </w:rPr>
        <w:t>.</w:t>
      </w:r>
    </w:p>
    <w:p w:rsidR="00000000" w:rsidRDefault="00A749A6">
      <w:pPr>
        <w:pStyle w:val="a3"/>
        <w:spacing w:before="240" w:beforeAutospacing="0" w:after="0" w:afterAutospacing="0"/>
        <w:ind w:firstLine="555"/>
        <w:jc w:val="both"/>
        <w:rPr>
          <w:sz w:val="20"/>
          <w:szCs w:val="20"/>
        </w:rPr>
      </w:pPr>
      <w:r>
        <w:rPr>
          <w:sz w:val="20"/>
          <w:szCs w:val="20"/>
        </w:rPr>
        <w:t>Based on the sensitivity analysis described above, the hypothetical 10% adverse change in market prices for open derivative instruments as of June 25,</w:t>
      </w:r>
      <w:r>
        <w:rPr>
          <w:sz w:val="20"/>
          <w:szCs w:val="20"/>
        </w:rPr>
        <w:t xml:space="preserve"> 2022 indicates a decrease in potential future net gains of $14.7 million. See also Item 7A of our Annual Report on Form 10-K for the fiscal year ended September 25, 2021. The above hypothetical change does not reflect the worst case scenario. Actual resul</w:t>
      </w:r>
      <w:r>
        <w:rPr>
          <w:sz w:val="20"/>
          <w:szCs w:val="20"/>
        </w:rPr>
        <w:t>ts may be significantly different depending on market conditions and the composition of the open position portfolio</w:t>
      </w:r>
      <w:r>
        <w:rPr>
          <w:sz w:val="20"/>
          <w:szCs w:val="20"/>
        </w:rPr>
        <w:t>.</w:t>
      </w:r>
    </w:p>
    <w:p w:rsidR="00000000" w:rsidRDefault="00A749A6">
      <w:pPr>
        <w:pStyle w:val="a3"/>
        <w:spacing w:before="240" w:beforeAutospacing="0" w:after="0" w:afterAutospacing="0"/>
        <w:ind w:firstLine="555"/>
        <w:jc w:val="both"/>
        <w:rPr>
          <w:sz w:val="20"/>
          <w:szCs w:val="20"/>
        </w:rPr>
      </w:pPr>
      <w:r>
        <w:rPr>
          <w:sz w:val="20"/>
          <w:szCs w:val="20"/>
        </w:rPr>
        <w:t>To date, the COVID-19 pandemic and the Russia-Ukraine war have not materially adversely affected our product supply agreements or our hedgi</w:t>
      </w:r>
      <w:r>
        <w:rPr>
          <w:sz w:val="20"/>
          <w:szCs w:val="20"/>
        </w:rPr>
        <w:t>ng strategies, and we currently believe that we will continue to have access to sufficient supply to meet customer demand</w:t>
      </w:r>
      <w:r>
        <w:rPr>
          <w:sz w:val="20"/>
          <w:szCs w:val="20"/>
        </w:rPr>
        <w:t>.</w:t>
      </w:r>
    </w:p>
    <w:p w:rsidR="00000000" w:rsidRDefault="00A749A6">
      <w:pPr>
        <w:pStyle w:val="a3"/>
        <w:spacing w:before="360" w:beforeAutospacing="0" w:after="0" w:afterAutospacing="0"/>
        <w:jc w:val="both"/>
        <w:rPr>
          <w:sz w:val="20"/>
          <w:szCs w:val="20"/>
        </w:rPr>
      </w:pPr>
      <w:r>
        <w:rPr>
          <w:b/>
          <w:bCs/>
          <w:sz w:val="20"/>
          <w:szCs w:val="20"/>
        </w:rPr>
        <w:t>ITEM 4. CONTROL</w:t>
      </w:r>
      <w:r>
        <w:rPr>
          <w:b/>
          <w:bCs/>
          <w:sz w:val="20"/>
          <w:szCs w:val="20"/>
        </w:rPr>
        <w:t>S</w:t>
      </w:r>
      <w:r>
        <w:rPr>
          <w:b/>
          <w:bCs/>
          <w:sz w:val="20"/>
          <w:szCs w:val="20"/>
        </w:rPr>
        <w:t xml:space="preserve"> AND PROCEDURE</w:t>
      </w:r>
      <w:r>
        <w:rPr>
          <w:b/>
          <w:bCs/>
          <w:sz w:val="20"/>
          <w:szCs w:val="20"/>
        </w:rPr>
        <w:t>S</w:t>
      </w:r>
    </w:p>
    <w:p w:rsidR="00000000" w:rsidRDefault="00A749A6">
      <w:pPr>
        <w:pStyle w:val="a3"/>
        <w:spacing w:before="120" w:beforeAutospacing="0" w:after="0" w:afterAutospacing="0"/>
        <w:jc w:val="both"/>
        <w:rPr>
          <w:sz w:val="20"/>
          <w:szCs w:val="20"/>
        </w:rPr>
      </w:pPr>
      <w:r>
        <w:rPr>
          <w:b/>
          <w:bCs/>
          <w:sz w:val="20"/>
          <w:szCs w:val="20"/>
        </w:rPr>
        <w:t>Evaluation of Disclosure Controls and Procedure</w:t>
      </w:r>
      <w:r>
        <w:rPr>
          <w:b/>
          <w:bCs/>
          <w:sz w:val="20"/>
          <w:szCs w:val="20"/>
        </w:rPr>
        <w:t>s</w:t>
      </w:r>
    </w:p>
    <w:p w:rsidR="00000000" w:rsidRDefault="00A749A6">
      <w:pPr>
        <w:pStyle w:val="a3"/>
        <w:spacing w:before="120" w:beforeAutospacing="0" w:after="0" w:afterAutospacing="0"/>
        <w:ind w:firstLine="555"/>
        <w:jc w:val="both"/>
        <w:rPr>
          <w:sz w:val="20"/>
          <w:szCs w:val="20"/>
        </w:rPr>
      </w:pPr>
      <w:r>
        <w:rPr>
          <w:sz w:val="20"/>
          <w:szCs w:val="20"/>
        </w:rPr>
        <w:t>The Partnership maintains disclosure controls and pr</w:t>
      </w:r>
      <w:r>
        <w:rPr>
          <w:sz w:val="20"/>
          <w:szCs w:val="20"/>
        </w:rPr>
        <w:t>ocedures (as defined in Rules 13a-15(e) and 15d-15(e) of the Securities Exchange Act of 1934, as amended (the “Exchange Act”)) that are designed to provide reasonable assurance that information required to be disclosed in the Partnership’s filings and subm</w:t>
      </w:r>
      <w:r>
        <w:rPr>
          <w:sz w:val="20"/>
          <w:szCs w:val="20"/>
        </w:rPr>
        <w:t>issions under the Exchange Act is recorded, processed, summarized and reported within the periods specified in the rules and forms of the SEC and that such information is accumulated and communicated to the Partnership’s management, including its principal</w:t>
      </w:r>
      <w:r>
        <w:rPr>
          <w:sz w:val="20"/>
          <w:szCs w:val="20"/>
        </w:rPr>
        <w:t xml:space="preserve"> executive officer and principal financial officer, as appropriate, to allow timely decisions regarding required disclosure</w:t>
      </w:r>
      <w:r>
        <w:rPr>
          <w:sz w:val="20"/>
          <w:szCs w:val="20"/>
        </w:rPr>
        <w:t>.</w:t>
      </w:r>
    </w:p>
    <w:p w:rsidR="00000000" w:rsidRDefault="00A749A6">
      <w:pPr>
        <w:pStyle w:val="a3"/>
        <w:spacing w:before="240" w:beforeAutospacing="0" w:after="0" w:afterAutospacing="0"/>
        <w:ind w:firstLine="555"/>
        <w:jc w:val="both"/>
        <w:rPr>
          <w:sz w:val="20"/>
          <w:szCs w:val="20"/>
        </w:rPr>
      </w:pPr>
      <w:r>
        <w:rPr>
          <w:sz w:val="20"/>
          <w:szCs w:val="20"/>
        </w:rPr>
        <w:t>The Partnership completed an evaluation under the supervision and with participation of the Partnership’s management, including the</w:t>
      </w:r>
      <w:r>
        <w:rPr>
          <w:sz w:val="20"/>
          <w:szCs w:val="20"/>
        </w:rPr>
        <w:t xml:space="preserve"> Partnership’s principal executive officer and principal financial officer, of the effectiveness of the design and operation of the Partnership’s disclosure controls and procedures as of June 25, 2022. Based on this evaluation, the Partnership’s principal </w:t>
      </w:r>
      <w:r>
        <w:rPr>
          <w:sz w:val="20"/>
          <w:szCs w:val="20"/>
        </w:rPr>
        <w:t>executive officer and principal financial officer have concluded that, as of June 25, 2022, such disclosure controls and procedures were effective to provide the reasonable assurance described above</w:t>
      </w:r>
      <w:r>
        <w:rPr>
          <w:sz w:val="20"/>
          <w:szCs w:val="20"/>
        </w:rPr>
        <w:t>.</w:t>
      </w:r>
    </w:p>
    <w:p w:rsidR="00000000" w:rsidRDefault="00A749A6">
      <w:pPr>
        <w:pStyle w:val="a3"/>
        <w:spacing w:before="360" w:beforeAutospacing="0" w:after="0" w:afterAutospacing="0"/>
        <w:jc w:val="both"/>
        <w:rPr>
          <w:sz w:val="20"/>
          <w:szCs w:val="20"/>
        </w:rPr>
      </w:pPr>
      <w:r>
        <w:rPr>
          <w:b/>
          <w:bCs/>
          <w:sz w:val="20"/>
          <w:szCs w:val="20"/>
        </w:rPr>
        <w:t>Changes in Internal Control Over Financial Reportin</w:t>
      </w:r>
      <w:r>
        <w:rPr>
          <w:b/>
          <w:bCs/>
          <w:sz w:val="20"/>
          <w:szCs w:val="20"/>
        </w:rPr>
        <w:t>g</w:t>
      </w:r>
    </w:p>
    <w:p w:rsidR="00000000" w:rsidRDefault="00A749A6">
      <w:pPr>
        <w:pStyle w:val="a3"/>
        <w:spacing w:before="120" w:beforeAutospacing="0" w:after="0" w:afterAutospacing="0"/>
        <w:ind w:firstLine="555"/>
        <w:jc w:val="both"/>
        <w:rPr>
          <w:sz w:val="20"/>
          <w:szCs w:val="20"/>
        </w:rPr>
      </w:pPr>
      <w:r>
        <w:rPr>
          <w:sz w:val="20"/>
          <w:szCs w:val="20"/>
        </w:rPr>
        <w:t>There have not been any changes in the Partnership’s internal control over financial reporting (as defined in Rules 13a-15(f) and 15d-15(f) of the Exchange Act) during the quarter ended June 25, 2022 that have materially affected or are reasonably likely t</w:t>
      </w:r>
      <w:r>
        <w:rPr>
          <w:sz w:val="20"/>
          <w:szCs w:val="20"/>
        </w:rPr>
        <w:t>o materially affect its internal control over financial reporting</w:t>
      </w:r>
      <w:r>
        <w:rPr>
          <w:sz w:val="20"/>
          <w:szCs w:val="20"/>
        </w:rPr>
        <w:t>.</w:t>
      </w:r>
    </w:p>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3</w:t>
      </w:r>
      <w:r>
        <w:rPr>
          <w:sz w:val="20"/>
          <w:szCs w:val="20"/>
        </w:rPr>
        <w:t>6</w:t>
      </w:r>
    </w:p>
    <w:p w:rsidR="00000000" w:rsidRDefault="00A749A6">
      <w:pPr>
        <w:rPr>
          <w:rFonts w:eastAsia="Times New Roman"/>
        </w:rPr>
      </w:pPr>
      <w:r>
        <w:rPr>
          <w:rFonts w:eastAsia="Times New Roman"/>
        </w:rPr>
        <w:pict>
          <v:rect id="_x0000_i1064" style="width:0;height:1.5pt" o:hralign="center" o:hrstd="t" o:hr="t" fillcolor="#a0a0a0" stroked="f"/>
        </w:pict>
      </w:r>
    </w:p>
    <w:p w:rsidR="00000000" w:rsidRDefault="00A749A6">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0" w:beforeAutospacing="0" w:after="0" w:afterAutospacing="0"/>
        <w:jc w:val="center"/>
        <w:rPr>
          <w:sz w:val="20"/>
          <w:szCs w:val="20"/>
        </w:rPr>
      </w:pPr>
      <w:r>
        <w:rPr>
          <w:b/>
          <w:bCs/>
          <w:sz w:val="20"/>
          <w:szCs w:val="20"/>
        </w:rPr>
        <w:t>PART II. OTH</w:t>
      </w:r>
      <w:r>
        <w:rPr>
          <w:b/>
          <w:bCs/>
          <w:sz w:val="20"/>
          <w:szCs w:val="20"/>
        </w:rPr>
        <w:t>E</w:t>
      </w:r>
      <w:r>
        <w:rPr>
          <w:b/>
          <w:bCs/>
          <w:sz w:val="20"/>
          <w:szCs w:val="20"/>
        </w:rPr>
        <w:t>R INFORMATIO</w:t>
      </w:r>
      <w:r>
        <w:rPr>
          <w:b/>
          <w:bCs/>
          <w:sz w:val="20"/>
          <w:szCs w:val="20"/>
        </w:rPr>
        <w:t>N</w:t>
      </w:r>
    </w:p>
    <w:p w:rsidR="00000000" w:rsidRDefault="00A749A6">
      <w:pPr>
        <w:pStyle w:val="a3"/>
        <w:spacing w:before="240" w:beforeAutospacing="0" w:after="0" w:afterAutospacing="0"/>
        <w:jc w:val="both"/>
        <w:rPr>
          <w:sz w:val="20"/>
          <w:szCs w:val="20"/>
        </w:rPr>
      </w:pPr>
      <w:r>
        <w:rPr>
          <w:b/>
          <w:bCs/>
          <w:sz w:val="20"/>
          <w:szCs w:val="20"/>
        </w:rPr>
        <w:t>ITEM 1. LEGA</w:t>
      </w:r>
      <w:r>
        <w:rPr>
          <w:b/>
          <w:bCs/>
          <w:sz w:val="20"/>
          <w:szCs w:val="20"/>
        </w:rPr>
        <w:t>L</w:t>
      </w:r>
      <w:r>
        <w:rPr>
          <w:b/>
          <w:bCs/>
          <w:sz w:val="20"/>
          <w:szCs w:val="20"/>
        </w:rPr>
        <w:t xml:space="preserve"> PROCEEDING</w:t>
      </w:r>
      <w:r>
        <w:rPr>
          <w:b/>
          <w:bCs/>
          <w:sz w:val="20"/>
          <w:szCs w:val="20"/>
        </w:rPr>
        <w:t>S</w:t>
      </w:r>
    </w:p>
    <w:p w:rsidR="00000000" w:rsidRDefault="00A749A6">
      <w:pPr>
        <w:pStyle w:val="a3"/>
        <w:spacing w:before="120" w:beforeAutospacing="0" w:after="0" w:afterAutospacing="0"/>
        <w:ind w:firstLine="555"/>
        <w:jc w:val="both"/>
        <w:rPr>
          <w:sz w:val="20"/>
          <w:szCs w:val="20"/>
        </w:rPr>
      </w:pPr>
      <w:r>
        <w:rPr>
          <w:sz w:val="20"/>
          <w:szCs w:val="20"/>
        </w:rPr>
        <w:t>None</w:t>
      </w:r>
      <w:r>
        <w:rPr>
          <w:sz w:val="20"/>
          <w:szCs w:val="20"/>
        </w:rPr>
        <w:t>.</w:t>
      </w:r>
    </w:p>
    <w:p w:rsidR="00000000" w:rsidRDefault="00A749A6">
      <w:pPr>
        <w:pStyle w:val="a3"/>
        <w:spacing w:before="360" w:beforeAutospacing="0" w:after="0" w:afterAutospacing="0"/>
        <w:jc w:val="both"/>
        <w:rPr>
          <w:sz w:val="20"/>
          <w:szCs w:val="20"/>
        </w:rPr>
      </w:pPr>
      <w:r>
        <w:rPr>
          <w:b/>
          <w:bCs/>
          <w:sz w:val="20"/>
          <w:szCs w:val="20"/>
        </w:rPr>
        <w:t>ITEM 1A. R</w:t>
      </w:r>
      <w:r>
        <w:rPr>
          <w:b/>
          <w:bCs/>
          <w:sz w:val="20"/>
          <w:szCs w:val="20"/>
        </w:rPr>
        <w:t>I</w:t>
      </w:r>
      <w:r>
        <w:rPr>
          <w:b/>
          <w:bCs/>
          <w:sz w:val="20"/>
          <w:szCs w:val="20"/>
        </w:rPr>
        <w:t>SK FACTOR</w:t>
      </w:r>
      <w:r>
        <w:rPr>
          <w:b/>
          <w:bCs/>
          <w:sz w:val="20"/>
          <w:szCs w:val="20"/>
        </w:rPr>
        <w:t>S</w:t>
      </w:r>
    </w:p>
    <w:p w:rsidR="00000000" w:rsidRDefault="00A749A6">
      <w:pPr>
        <w:pStyle w:val="a3"/>
        <w:spacing w:before="120" w:beforeAutospacing="0" w:after="0" w:afterAutospacing="0"/>
        <w:ind w:firstLine="555"/>
        <w:jc w:val="both"/>
        <w:rPr>
          <w:sz w:val="20"/>
          <w:szCs w:val="20"/>
        </w:rPr>
      </w:pPr>
      <w:r>
        <w:rPr>
          <w:sz w:val="20"/>
          <w:szCs w:val="20"/>
        </w:rPr>
        <w:t>In addition to the other information set forth in this report, you should carefully consider the factors discussed in Item 1A. “Risk Factors” in the Partnership’s Annual Report on Form 10-K for the fiscal year ended September 25, 2021</w:t>
      </w:r>
      <w:r>
        <w:rPr>
          <w:sz w:val="20"/>
          <w:szCs w:val="20"/>
        </w:rPr>
        <w:t>.</w:t>
      </w:r>
    </w:p>
    <w:p w:rsidR="00000000" w:rsidRDefault="00A749A6">
      <w:pPr>
        <w:pStyle w:val="a3"/>
        <w:spacing w:before="360" w:beforeAutospacing="0" w:after="0" w:afterAutospacing="0"/>
        <w:jc w:val="both"/>
        <w:rPr>
          <w:sz w:val="20"/>
          <w:szCs w:val="20"/>
        </w:rPr>
      </w:pPr>
      <w:r>
        <w:rPr>
          <w:b/>
          <w:bCs/>
          <w:sz w:val="20"/>
          <w:szCs w:val="20"/>
        </w:rPr>
        <w:t>ITEM 2. UNREGISTERED SALES OF EQU</w:t>
      </w:r>
      <w:r>
        <w:rPr>
          <w:b/>
          <w:bCs/>
          <w:sz w:val="20"/>
          <w:szCs w:val="20"/>
        </w:rPr>
        <w:t>I</w:t>
      </w:r>
      <w:r>
        <w:rPr>
          <w:b/>
          <w:bCs/>
          <w:sz w:val="20"/>
          <w:szCs w:val="20"/>
        </w:rPr>
        <w:t>TY SECURITIES AND USE OF PROCEED</w:t>
      </w:r>
      <w:r>
        <w:rPr>
          <w:b/>
          <w:bCs/>
          <w:sz w:val="20"/>
          <w:szCs w:val="20"/>
        </w:rPr>
        <w:t>S</w:t>
      </w:r>
    </w:p>
    <w:p w:rsidR="00000000" w:rsidRDefault="00A749A6">
      <w:pPr>
        <w:jc w:val="both"/>
        <w:divId w:val="1235818269"/>
        <w:rPr>
          <w:rFonts w:eastAsia="Times New Roman"/>
        </w:rPr>
      </w:pPr>
      <w:r>
        <w:rPr>
          <w:rFonts w:eastAsia="Times New Roman"/>
          <w:sz w:val="20"/>
          <w:szCs w:val="20"/>
        </w:rPr>
        <w:t>(c</w:t>
      </w:r>
      <w:r>
        <w:rPr>
          <w:rFonts w:eastAsia="Times New Roman"/>
          <w:sz w:val="20"/>
          <w:szCs w:val="20"/>
        </w:rPr>
        <w:t>)</w:t>
      </w:r>
    </w:p>
    <w:p w:rsidR="00000000" w:rsidRDefault="00A749A6">
      <w:pPr>
        <w:jc w:val="both"/>
        <w:divId w:val="1947148956"/>
        <w:rPr>
          <w:rFonts w:eastAsia="Times New Roman"/>
        </w:rPr>
      </w:pPr>
      <w:r>
        <w:rPr>
          <w:rFonts w:eastAsia="Times New Roman"/>
          <w:sz w:val="20"/>
          <w:szCs w:val="20"/>
        </w:rPr>
        <w:t>The following table provides information about deemed purchases by the Partnership during the three months ended June 25, 2022 of its Common Units</w:t>
      </w:r>
      <w:r>
        <w:rPr>
          <w:rFonts w:eastAsia="Times New Roman"/>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29"/>
        <w:gridCol w:w="111"/>
        <w:gridCol w:w="111"/>
        <w:gridCol w:w="663"/>
        <w:gridCol w:w="110"/>
        <w:gridCol w:w="111"/>
        <w:gridCol w:w="160"/>
        <w:gridCol w:w="663"/>
        <w:gridCol w:w="110"/>
        <w:gridCol w:w="111"/>
        <w:gridCol w:w="1073"/>
        <w:gridCol w:w="111"/>
        <w:gridCol w:w="1343"/>
      </w:tblGrid>
      <w:tr w:rsidR="00000000">
        <w:trPr>
          <w:tblCellSpacing w:w="15" w:type="dxa"/>
        </w:trPr>
        <w:tc>
          <w:tcPr>
            <w:tcW w:w="2275" w:type="pct"/>
            <w:vAlign w:val="center"/>
            <w:hideMark/>
          </w:tcPr>
          <w:p w:rsidR="00000000" w:rsidRDefault="00A749A6">
            <w:pPr>
              <w:jc w:val="both"/>
              <w:rPr>
                <w:rFonts w:eastAsia="Times New Roman"/>
              </w:rPr>
            </w:pPr>
          </w:p>
        </w:tc>
        <w:tc>
          <w:tcPr>
            <w:tcW w:w="55"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05"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5"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405"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55" w:type="pct"/>
            <w:vAlign w:val="center"/>
            <w:hideMark/>
          </w:tcPr>
          <w:p w:rsidR="00000000" w:rsidRDefault="00A749A6">
            <w:pPr>
              <w:rPr>
                <w:rFonts w:eastAsia="Times New Roman"/>
                <w:sz w:val="20"/>
                <w:szCs w:val="20"/>
              </w:rPr>
            </w:pPr>
          </w:p>
        </w:tc>
        <w:tc>
          <w:tcPr>
            <w:tcW w:w="665" w:type="pct"/>
            <w:vAlign w:val="center"/>
            <w:hideMark/>
          </w:tcPr>
          <w:p w:rsidR="00000000" w:rsidRDefault="00A749A6">
            <w:pPr>
              <w:rPr>
                <w:rFonts w:eastAsia="Times New Roman"/>
                <w:sz w:val="20"/>
                <w:szCs w:val="20"/>
              </w:rPr>
            </w:pPr>
          </w:p>
        </w:tc>
        <w:tc>
          <w:tcPr>
            <w:tcW w:w="55" w:type="pct"/>
            <w:vAlign w:val="center"/>
            <w:hideMark/>
          </w:tcPr>
          <w:p w:rsidR="00000000" w:rsidRDefault="00A749A6">
            <w:pPr>
              <w:rPr>
                <w:rFonts w:eastAsia="Times New Roman"/>
                <w:sz w:val="20"/>
                <w:szCs w:val="20"/>
              </w:rPr>
            </w:pPr>
          </w:p>
        </w:tc>
        <w:tc>
          <w:tcPr>
            <w:tcW w:w="827" w:type="pct"/>
            <w:vAlign w:val="center"/>
            <w:hideMark/>
          </w:tcPr>
          <w:p w:rsidR="00000000" w:rsidRDefault="00A749A6">
            <w:pPr>
              <w:rPr>
                <w:rFonts w:eastAsia="Times New Roman"/>
                <w:sz w:val="20"/>
                <w:szCs w:val="20"/>
              </w:rPr>
            </w:pPr>
          </w:p>
        </w:tc>
      </w:tr>
      <w:tr w:rsidR="00000000">
        <w:trPr>
          <w:trHeight w:val="140"/>
          <w:tblCellSpacing w:w="15" w:type="dxa"/>
        </w:trPr>
        <w:tc>
          <w:tcPr>
            <w:tcW w:w="0" w:type="auto"/>
            <w:vAlign w:val="bottom"/>
            <w:hideMark/>
          </w:tcPr>
          <w:p w:rsidR="00000000" w:rsidRDefault="00A749A6">
            <w:pPr>
              <w:pStyle w:val="a3"/>
              <w:spacing w:before="0" w:beforeAutospacing="0" w:after="0" w:afterAutospacing="0"/>
              <w:rPr>
                <w:sz w:val="14"/>
                <w:szCs w:val="14"/>
              </w:rPr>
            </w:pPr>
            <w:r>
              <w:rPr>
                <w:sz w:val="14"/>
                <w:szCs w:val="14"/>
              </w:rPr>
              <w:t> </w:t>
            </w:r>
          </w:p>
        </w:tc>
        <w:tc>
          <w:tcPr>
            <w:tcW w:w="0" w:type="auto"/>
            <w:vAlign w:val="bottom"/>
            <w:hideMark/>
          </w:tcPr>
          <w:p w:rsidR="00000000" w:rsidRDefault="00A749A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749A6">
            <w:pPr>
              <w:pStyle w:val="a3"/>
              <w:spacing w:before="0" w:beforeAutospacing="0" w:after="0" w:afterAutospacing="0"/>
              <w:rPr>
                <w:sz w:val="14"/>
                <w:szCs w:val="14"/>
              </w:rPr>
            </w:pPr>
            <w:r>
              <w:rPr>
                <w:sz w:val="14"/>
                <w:szCs w:val="14"/>
              </w:rPr>
              <w:t> </w:t>
            </w:r>
          </w:p>
        </w:tc>
        <w:tc>
          <w:tcPr>
            <w:tcW w:w="0" w:type="auto"/>
            <w:vAlign w:val="bottom"/>
            <w:hideMark/>
          </w:tcPr>
          <w:p w:rsidR="00000000" w:rsidRDefault="00A749A6">
            <w:pPr>
              <w:pStyle w:val="a3"/>
              <w:spacing w:before="0" w:beforeAutospacing="0" w:after="0" w:afterAutospacing="0"/>
              <w:rPr>
                <w:sz w:val="14"/>
                <w:szCs w:val="14"/>
              </w:rPr>
            </w:pPr>
            <w:r>
              <w:rPr>
                <w:sz w:val="14"/>
                <w:szCs w:val="14"/>
              </w:rPr>
              <w:t> </w:t>
            </w:r>
          </w:p>
        </w:tc>
        <w:tc>
          <w:tcPr>
            <w:tcW w:w="0" w:type="auto"/>
            <w:vAlign w:val="bottom"/>
            <w:hideMark/>
          </w:tcPr>
          <w:p w:rsidR="00000000" w:rsidRDefault="00A749A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749A6">
            <w:pPr>
              <w:pStyle w:val="a3"/>
              <w:spacing w:before="0" w:beforeAutospacing="0" w:after="0" w:afterAutospacing="0"/>
              <w:rPr>
                <w:sz w:val="14"/>
                <w:szCs w:val="14"/>
              </w:rPr>
            </w:pPr>
            <w:r>
              <w:rPr>
                <w:sz w:val="14"/>
                <w:szCs w:val="14"/>
              </w:rPr>
              <w:t> </w:t>
            </w:r>
          </w:p>
        </w:tc>
        <w:tc>
          <w:tcPr>
            <w:tcW w:w="0" w:type="auto"/>
            <w:vAlign w:val="bottom"/>
            <w:hideMark/>
          </w:tcPr>
          <w:p w:rsidR="00000000" w:rsidRDefault="00A749A6">
            <w:pPr>
              <w:pStyle w:val="a3"/>
              <w:spacing w:before="0" w:beforeAutospacing="0" w:after="0" w:afterAutospacing="0"/>
              <w:rPr>
                <w:sz w:val="14"/>
                <w:szCs w:val="14"/>
              </w:rPr>
            </w:pPr>
            <w:r>
              <w:rPr>
                <w:sz w:val="14"/>
                <w:szCs w:val="14"/>
              </w:rPr>
              <w:t> </w:t>
            </w:r>
          </w:p>
        </w:tc>
        <w:tc>
          <w:tcPr>
            <w:tcW w:w="0" w:type="auto"/>
            <w:vAlign w:val="bottom"/>
            <w:hideMark/>
          </w:tcPr>
          <w:p w:rsidR="00000000" w:rsidRDefault="00A749A6">
            <w:pPr>
              <w:pStyle w:val="a3"/>
              <w:spacing w:before="0" w:beforeAutospacing="0" w:after="0" w:afterAutospacing="0"/>
              <w:rPr>
                <w:sz w:val="14"/>
                <w:szCs w:val="14"/>
              </w:rPr>
            </w:pPr>
            <w:r>
              <w:rPr>
                <w:sz w:val="14"/>
                <w:szCs w:val="14"/>
              </w:rPr>
              <w:t> </w:t>
            </w:r>
          </w:p>
        </w:tc>
        <w:tc>
          <w:tcPr>
            <w:tcW w:w="0" w:type="auto"/>
            <w:vAlign w:val="bottom"/>
            <w:hideMark/>
          </w:tcPr>
          <w:p w:rsidR="00000000" w:rsidRDefault="00A749A6">
            <w:pPr>
              <w:pStyle w:val="a3"/>
              <w:spacing w:before="0" w:beforeAutospacing="0" w:after="0" w:afterAutospacing="0"/>
              <w:jc w:val="center"/>
              <w:rPr>
                <w:sz w:val="14"/>
                <w:szCs w:val="14"/>
              </w:rPr>
            </w:pPr>
            <w:r>
              <w:rPr>
                <w:b/>
                <w:bCs/>
                <w:sz w:val="14"/>
                <w:szCs w:val="14"/>
              </w:rPr>
              <w:t>Number of Share</w:t>
            </w:r>
            <w:r>
              <w:rPr>
                <w:b/>
                <w:bCs/>
                <w:sz w:val="14"/>
                <w:szCs w:val="14"/>
              </w:rPr>
              <w:t>s</w:t>
            </w:r>
          </w:p>
        </w:tc>
        <w:tc>
          <w:tcPr>
            <w:tcW w:w="0" w:type="auto"/>
            <w:vAlign w:val="bottom"/>
            <w:hideMark/>
          </w:tcPr>
          <w:p w:rsidR="00000000" w:rsidRDefault="00A749A6">
            <w:pPr>
              <w:pStyle w:val="a3"/>
              <w:spacing w:before="0" w:beforeAutospacing="0" w:after="0" w:afterAutospacing="0"/>
              <w:rPr>
                <w:sz w:val="14"/>
                <w:szCs w:val="14"/>
              </w:rPr>
            </w:pPr>
            <w:r>
              <w:rPr>
                <w:sz w:val="14"/>
                <w:szCs w:val="14"/>
              </w:rPr>
              <w:t> </w:t>
            </w:r>
          </w:p>
        </w:tc>
        <w:tc>
          <w:tcPr>
            <w:tcW w:w="0" w:type="auto"/>
            <w:vAlign w:val="bottom"/>
            <w:hideMark/>
          </w:tcPr>
          <w:p w:rsidR="00000000" w:rsidRDefault="00A749A6">
            <w:pPr>
              <w:pStyle w:val="a3"/>
              <w:spacing w:before="0" w:beforeAutospacing="0" w:after="0" w:afterAutospacing="0"/>
              <w:jc w:val="center"/>
              <w:rPr>
                <w:sz w:val="14"/>
                <w:szCs w:val="14"/>
              </w:rPr>
            </w:pPr>
            <w:r>
              <w:rPr>
                <w:b/>
                <w:bCs/>
                <w:sz w:val="14"/>
                <w:szCs w:val="14"/>
              </w:rPr>
              <w:t>Approximate Dollar Valu</w:t>
            </w:r>
            <w:r>
              <w:rPr>
                <w:b/>
                <w:bCs/>
                <w:sz w:val="14"/>
                <w:szCs w:val="14"/>
              </w:rPr>
              <w:t>e</w:t>
            </w:r>
          </w:p>
        </w:tc>
      </w:tr>
      <w:tr w:rsidR="00000000">
        <w:trPr>
          <w:trHeight w:val="140"/>
          <w:tblCellSpacing w:w="15" w:type="dxa"/>
        </w:trPr>
        <w:tc>
          <w:tcPr>
            <w:tcW w:w="0" w:type="auto"/>
            <w:vAlign w:val="bottom"/>
            <w:hideMark/>
          </w:tcPr>
          <w:p w:rsidR="00000000" w:rsidRDefault="00A749A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749A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749A6">
            <w:pPr>
              <w:pStyle w:val="a3"/>
              <w:spacing w:before="0" w:beforeAutospacing="0" w:after="0" w:afterAutospacing="0"/>
              <w:jc w:val="center"/>
              <w:rPr>
                <w:sz w:val="14"/>
                <w:szCs w:val="14"/>
              </w:rPr>
            </w:pPr>
            <w:r>
              <w:rPr>
                <w:b/>
                <w:bCs/>
                <w:sz w:val="14"/>
                <w:szCs w:val="14"/>
              </w:rPr>
              <w:t>Total Numbe</w:t>
            </w:r>
            <w:r>
              <w:rPr>
                <w:b/>
                <w:bCs/>
                <w:sz w:val="14"/>
                <w:szCs w:val="14"/>
              </w:rPr>
              <w:t>r</w:t>
            </w:r>
          </w:p>
        </w:tc>
        <w:tc>
          <w:tcPr>
            <w:tcW w:w="0" w:type="auto"/>
            <w:vAlign w:val="bottom"/>
            <w:hideMark/>
          </w:tcPr>
          <w:p w:rsidR="00000000" w:rsidRDefault="00A749A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749A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749A6">
            <w:pPr>
              <w:pStyle w:val="a3"/>
              <w:spacing w:before="0" w:beforeAutospacing="0" w:after="0" w:afterAutospacing="0"/>
              <w:jc w:val="center"/>
              <w:rPr>
                <w:sz w:val="14"/>
                <w:szCs w:val="14"/>
              </w:rPr>
            </w:pPr>
            <w:r>
              <w:rPr>
                <w:b/>
                <w:bCs/>
                <w:sz w:val="14"/>
                <w:szCs w:val="14"/>
              </w:rPr>
              <w:t>Averag</w:t>
            </w:r>
            <w:r>
              <w:rPr>
                <w:b/>
                <w:bCs/>
                <w:sz w:val="14"/>
                <w:szCs w:val="14"/>
              </w:rPr>
              <w:t>e</w:t>
            </w:r>
          </w:p>
        </w:tc>
        <w:tc>
          <w:tcPr>
            <w:tcW w:w="0" w:type="auto"/>
            <w:vAlign w:val="bottom"/>
            <w:hideMark/>
          </w:tcPr>
          <w:p w:rsidR="00000000" w:rsidRDefault="00A749A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749A6">
            <w:pPr>
              <w:pStyle w:val="a3"/>
              <w:spacing w:before="0" w:beforeAutospacing="0" w:after="0" w:afterAutospacing="0"/>
              <w:rPr>
                <w:sz w:val="14"/>
                <w:szCs w:val="14"/>
              </w:rPr>
            </w:pPr>
            <w:r>
              <w:rPr>
                <w:sz w:val="14"/>
                <w:szCs w:val="14"/>
              </w:rPr>
              <w:t> </w:t>
            </w:r>
          </w:p>
        </w:tc>
        <w:tc>
          <w:tcPr>
            <w:tcW w:w="0" w:type="auto"/>
            <w:vAlign w:val="bottom"/>
            <w:hideMark/>
          </w:tcPr>
          <w:p w:rsidR="00000000" w:rsidRDefault="00A749A6">
            <w:pPr>
              <w:pStyle w:val="a3"/>
              <w:spacing w:before="0" w:beforeAutospacing="0" w:after="0" w:afterAutospacing="0"/>
              <w:jc w:val="center"/>
              <w:rPr>
                <w:sz w:val="14"/>
                <w:szCs w:val="14"/>
              </w:rPr>
            </w:pPr>
            <w:r>
              <w:rPr>
                <w:b/>
                <w:bCs/>
                <w:sz w:val="14"/>
                <w:szCs w:val="14"/>
              </w:rPr>
              <w:t>Purchased as Part o</w:t>
            </w:r>
            <w:r>
              <w:rPr>
                <w:b/>
                <w:bCs/>
                <w:sz w:val="14"/>
                <w:szCs w:val="14"/>
              </w:rPr>
              <w:t>f</w:t>
            </w:r>
          </w:p>
        </w:tc>
        <w:tc>
          <w:tcPr>
            <w:tcW w:w="0" w:type="auto"/>
            <w:vAlign w:val="bottom"/>
            <w:hideMark/>
          </w:tcPr>
          <w:p w:rsidR="00000000" w:rsidRDefault="00A749A6">
            <w:pPr>
              <w:pStyle w:val="a3"/>
              <w:spacing w:before="0" w:beforeAutospacing="0" w:after="0" w:afterAutospacing="0"/>
              <w:rPr>
                <w:sz w:val="14"/>
                <w:szCs w:val="14"/>
              </w:rPr>
            </w:pPr>
            <w:r>
              <w:rPr>
                <w:sz w:val="14"/>
                <w:szCs w:val="14"/>
              </w:rPr>
              <w:t> </w:t>
            </w:r>
          </w:p>
        </w:tc>
        <w:tc>
          <w:tcPr>
            <w:tcW w:w="0" w:type="auto"/>
            <w:vAlign w:val="bottom"/>
            <w:hideMark/>
          </w:tcPr>
          <w:p w:rsidR="00000000" w:rsidRDefault="00A749A6">
            <w:pPr>
              <w:pStyle w:val="a3"/>
              <w:spacing w:before="0" w:beforeAutospacing="0" w:after="0" w:afterAutospacing="0"/>
              <w:jc w:val="center"/>
              <w:rPr>
                <w:sz w:val="14"/>
                <w:szCs w:val="14"/>
              </w:rPr>
            </w:pPr>
            <w:r>
              <w:rPr>
                <w:b/>
                <w:bCs/>
                <w:sz w:val="14"/>
                <w:szCs w:val="14"/>
              </w:rPr>
              <w:t>of Shares that Ma</w:t>
            </w:r>
            <w:r>
              <w:rPr>
                <w:b/>
                <w:bCs/>
                <w:sz w:val="14"/>
                <w:szCs w:val="14"/>
              </w:rPr>
              <w:t>y</w:t>
            </w:r>
          </w:p>
        </w:tc>
      </w:tr>
      <w:tr w:rsidR="00000000">
        <w:trPr>
          <w:trHeight w:val="140"/>
          <w:tblCellSpacing w:w="15" w:type="dxa"/>
        </w:trPr>
        <w:tc>
          <w:tcPr>
            <w:tcW w:w="0" w:type="auto"/>
            <w:vAlign w:val="bottom"/>
            <w:hideMark/>
          </w:tcPr>
          <w:p w:rsidR="00000000" w:rsidRDefault="00A749A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749A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749A6">
            <w:pPr>
              <w:pStyle w:val="a3"/>
              <w:spacing w:before="0" w:beforeAutospacing="0" w:after="0" w:afterAutospacing="0"/>
              <w:jc w:val="center"/>
              <w:rPr>
                <w:sz w:val="14"/>
                <w:szCs w:val="14"/>
              </w:rPr>
            </w:pPr>
            <w:r>
              <w:rPr>
                <w:b/>
                <w:bCs/>
                <w:sz w:val="14"/>
                <w:szCs w:val="14"/>
              </w:rPr>
              <w:t>of Share</w:t>
            </w:r>
            <w:r>
              <w:rPr>
                <w:b/>
                <w:bCs/>
                <w:sz w:val="14"/>
                <w:szCs w:val="14"/>
              </w:rPr>
              <w:t>s</w:t>
            </w:r>
          </w:p>
        </w:tc>
        <w:tc>
          <w:tcPr>
            <w:tcW w:w="0" w:type="auto"/>
            <w:vAlign w:val="bottom"/>
            <w:hideMark/>
          </w:tcPr>
          <w:p w:rsidR="00000000" w:rsidRDefault="00A749A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749A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749A6">
            <w:pPr>
              <w:pStyle w:val="a3"/>
              <w:spacing w:before="0" w:beforeAutospacing="0" w:after="0" w:afterAutospacing="0"/>
              <w:jc w:val="center"/>
              <w:rPr>
                <w:sz w:val="14"/>
                <w:szCs w:val="14"/>
              </w:rPr>
            </w:pPr>
            <w:r>
              <w:rPr>
                <w:b/>
                <w:bCs/>
                <w:sz w:val="14"/>
                <w:szCs w:val="14"/>
              </w:rPr>
              <w:t>Price Pai</w:t>
            </w:r>
            <w:r>
              <w:rPr>
                <w:b/>
                <w:bCs/>
                <w:sz w:val="14"/>
                <w:szCs w:val="14"/>
              </w:rPr>
              <w:t>d</w:t>
            </w:r>
          </w:p>
        </w:tc>
        <w:tc>
          <w:tcPr>
            <w:tcW w:w="0" w:type="auto"/>
            <w:vAlign w:val="bottom"/>
            <w:hideMark/>
          </w:tcPr>
          <w:p w:rsidR="00000000" w:rsidRDefault="00A749A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749A6">
            <w:pPr>
              <w:pStyle w:val="a3"/>
              <w:spacing w:before="0" w:beforeAutospacing="0" w:after="0" w:afterAutospacing="0"/>
              <w:rPr>
                <w:sz w:val="14"/>
                <w:szCs w:val="14"/>
              </w:rPr>
            </w:pPr>
            <w:r>
              <w:rPr>
                <w:sz w:val="14"/>
                <w:szCs w:val="14"/>
              </w:rPr>
              <w:t> </w:t>
            </w:r>
          </w:p>
        </w:tc>
        <w:tc>
          <w:tcPr>
            <w:tcW w:w="0" w:type="auto"/>
            <w:vAlign w:val="bottom"/>
            <w:hideMark/>
          </w:tcPr>
          <w:p w:rsidR="00000000" w:rsidRDefault="00A749A6">
            <w:pPr>
              <w:pStyle w:val="a3"/>
              <w:spacing w:before="0" w:beforeAutospacing="0" w:after="0" w:afterAutospacing="0"/>
              <w:jc w:val="center"/>
              <w:rPr>
                <w:sz w:val="14"/>
                <w:szCs w:val="14"/>
              </w:rPr>
            </w:pPr>
            <w:r>
              <w:rPr>
                <w:b/>
                <w:bCs/>
                <w:sz w:val="14"/>
                <w:szCs w:val="14"/>
              </w:rPr>
              <w:t>Publicly Announce</w:t>
            </w:r>
            <w:r>
              <w:rPr>
                <w:b/>
                <w:bCs/>
                <w:sz w:val="14"/>
                <w:szCs w:val="14"/>
              </w:rPr>
              <w:t>d</w:t>
            </w:r>
          </w:p>
        </w:tc>
        <w:tc>
          <w:tcPr>
            <w:tcW w:w="0" w:type="auto"/>
            <w:vAlign w:val="bottom"/>
            <w:hideMark/>
          </w:tcPr>
          <w:p w:rsidR="00000000" w:rsidRDefault="00A749A6">
            <w:pPr>
              <w:pStyle w:val="a3"/>
              <w:spacing w:before="0" w:beforeAutospacing="0" w:after="0" w:afterAutospacing="0"/>
              <w:rPr>
                <w:sz w:val="14"/>
                <w:szCs w:val="14"/>
              </w:rPr>
            </w:pPr>
            <w:r>
              <w:rPr>
                <w:sz w:val="14"/>
                <w:szCs w:val="14"/>
              </w:rPr>
              <w:t> </w:t>
            </w:r>
          </w:p>
        </w:tc>
        <w:tc>
          <w:tcPr>
            <w:tcW w:w="0" w:type="auto"/>
            <w:vAlign w:val="bottom"/>
            <w:hideMark/>
          </w:tcPr>
          <w:p w:rsidR="00000000" w:rsidRDefault="00A749A6">
            <w:pPr>
              <w:pStyle w:val="a3"/>
              <w:spacing w:before="0" w:beforeAutospacing="0" w:after="0" w:afterAutospacing="0"/>
              <w:jc w:val="center"/>
              <w:rPr>
                <w:sz w:val="14"/>
                <w:szCs w:val="14"/>
              </w:rPr>
            </w:pPr>
            <w:r>
              <w:rPr>
                <w:b/>
                <w:bCs/>
                <w:sz w:val="14"/>
                <w:szCs w:val="14"/>
              </w:rPr>
              <w:t>Yet be Purchase</w:t>
            </w:r>
            <w:r>
              <w:rPr>
                <w:b/>
                <w:bCs/>
                <w:sz w:val="14"/>
                <w:szCs w:val="14"/>
              </w:rPr>
              <w:t>d</w:t>
            </w:r>
          </w:p>
        </w:tc>
      </w:tr>
      <w:tr w:rsidR="00000000">
        <w:trPr>
          <w:trHeight w:val="140"/>
          <w:tblCellSpacing w:w="15" w:type="dxa"/>
        </w:trPr>
        <w:tc>
          <w:tcPr>
            <w:tcW w:w="0" w:type="auto"/>
            <w:vAlign w:val="bottom"/>
            <w:hideMark/>
          </w:tcPr>
          <w:p w:rsidR="00000000" w:rsidRDefault="00A749A6">
            <w:pPr>
              <w:pStyle w:val="a3"/>
              <w:spacing w:before="0" w:beforeAutospacing="0" w:after="0" w:afterAutospacing="0"/>
              <w:jc w:val="center"/>
              <w:rPr>
                <w:sz w:val="14"/>
                <w:szCs w:val="14"/>
              </w:rPr>
            </w:pPr>
            <w:r>
              <w:rPr>
                <w:b/>
                <w:bCs/>
                <w:sz w:val="14"/>
                <w:szCs w:val="14"/>
              </w:rPr>
              <w:t>Perio</w:t>
            </w:r>
            <w:r>
              <w:rPr>
                <w:b/>
                <w:bCs/>
                <w:sz w:val="14"/>
                <w:szCs w:val="14"/>
              </w:rPr>
              <w:t>d</w:t>
            </w:r>
          </w:p>
        </w:tc>
        <w:tc>
          <w:tcPr>
            <w:tcW w:w="0" w:type="auto"/>
            <w:vAlign w:val="bottom"/>
            <w:hideMark/>
          </w:tcPr>
          <w:p w:rsidR="00000000" w:rsidRDefault="00A749A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749A6">
            <w:pPr>
              <w:pStyle w:val="a3"/>
              <w:spacing w:before="0" w:beforeAutospacing="0" w:after="0" w:afterAutospacing="0"/>
              <w:jc w:val="center"/>
              <w:rPr>
                <w:sz w:val="14"/>
                <w:szCs w:val="14"/>
              </w:rPr>
            </w:pPr>
            <w:r>
              <w:rPr>
                <w:b/>
                <w:bCs/>
                <w:sz w:val="14"/>
                <w:szCs w:val="14"/>
              </w:rPr>
              <w:t>Purchased (1</w:t>
            </w:r>
            <w:r>
              <w:rPr>
                <w:b/>
                <w:bCs/>
                <w:sz w:val="14"/>
                <w:szCs w:val="14"/>
              </w:rPr>
              <w:t>)</w:t>
            </w:r>
          </w:p>
        </w:tc>
        <w:tc>
          <w:tcPr>
            <w:tcW w:w="0" w:type="auto"/>
            <w:vAlign w:val="bottom"/>
            <w:hideMark/>
          </w:tcPr>
          <w:p w:rsidR="00000000" w:rsidRDefault="00A749A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749A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A749A6">
            <w:pPr>
              <w:pStyle w:val="a3"/>
              <w:spacing w:before="0" w:beforeAutospacing="0" w:after="0" w:afterAutospacing="0"/>
              <w:jc w:val="center"/>
              <w:rPr>
                <w:sz w:val="14"/>
                <w:szCs w:val="14"/>
              </w:rPr>
            </w:pPr>
            <w:r>
              <w:rPr>
                <w:b/>
                <w:bCs/>
                <w:sz w:val="14"/>
                <w:szCs w:val="14"/>
              </w:rPr>
              <w:t>per Shar</w:t>
            </w:r>
            <w:r>
              <w:rPr>
                <w:b/>
                <w:bCs/>
                <w:sz w:val="14"/>
                <w:szCs w:val="14"/>
              </w:rPr>
              <w:t>e</w:t>
            </w:r>
          </w:p>
        </w:tc>
        <w:tc>
          <w:tcPr>
            <w:tcW w:w="0" w:type="auto"/>
            <w:vAlign w:val="bottom"/>
            <w:hideMark/>
          </w:tcPr>
          <w:p w:rsidR="00000000" w:rsidRDefault="00A749A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A749A6">
            <w:pPr>
              <w:pStyle w:val="a3"/>
              <w:spacing w:before="0" w:beforeAutospacing="0" w:after="0" w:afterAutospacing="0"/>
              <w:rPr>
                <w:sz w:val="14"/>
                <w:szCs w:val="14"/>
              </w:rPr>
            </w:pPr>
            <w:r>
              <w:rPr>
                <w:sz w:val="14"/>
                <w:szCs w:val="14"/>
              </w:rPr>
              <w:t> </w:t>
            </w:r>
          </w:p>
        </w:tc>
        <w:tc>
          <w:tcPr>
            <w:tcW w:w="0" w:type="auto"/>
            <w:vAlign w:val="bottom"/>
            <w:hideMark/>
          </w:tcPr>
          <w:p w:rsidR="00000000" w:rsidRDefault="00A749A6">
            <w:pPr>
              <w:pStyle w:val="a3"/>
              <w:spacing w:before="0" w:beforeAutospacing="0" w:after="0" w:afterAutospacing="0"/>
              <w:jc w:val="center"/>
              <w:rPr>
                <w:sz w:val="14"/>
                <w:szCs w:val="14"/>
              </w:rPr>
            </w:pPr>
            <w:r>
              <w:rPr>
                <w:b/>
                <w:bCs/>
                <w:sz w:val="14"/>
                <w:szCs w:val="14"/>
              </w:rPr>
              <w:t>Progra</w:t>
            </w:r>
            <w:r>
              <w:rPr>
                <w:b/>
                <w:bCs/>
                <w:sz w:val="14"/>
                <w:szCs w:val="14"/>
              </w:rPr>
              <w:t>m</w:t>
            </w:r>
          </w:p>
        </w:tc>
        <w:tc>
          <w:tcPr>
            <w:tcW w:w="0" w:type="auto"/>
            <w:vAlign w:val="bottom"/>
            <w:hideMark/>
          </w:tcPr>
          <w:p w:rsidR="00000000" w:rsidRDefault="00A749A6">
            <w:pPr>
              <w:pStyle w:val="a3"/>
              <w:spacing w:before="0" w:beforeAutospacing="0" w:after="0" w:afterAutospacing="0"/>
              <w:rPr>
                <w:sz w:val="14"/>
                <w:szCs w:val="14"/>
              </w:rPr>
            </w:pPr>
            <w:r>
              <w:rPr>
                <w:sz w:val="14"/>
                <w:szCs w:val="14"/>
              </w:rPr>
              <w:t> </w:t>
            </w:r>
          </w:p>
        </w:tc>
        <w:tc>
          <w:tcPr>
            <w:tcW w:w="0" w:type="auto"/>
            <w:vAlign w:val="bottom"/>
            <w:hideMark/>
          </w:tcPr>
          <w:p w:rsidR="00000000" w:rsidRDefault="00A749A6">
            <w:pPr>
              <w:pStyle w:val="a3"/>
              <w:spacing w:before="0" w:beforeAutospacing="0" w:after="0" w:afterAutospacing="0"/>
              <w:jc w:val="center"/>
              <w:rPr>
                <w:sz w:val="14"/>
                <w:szCs w:val="14"/>
              </w:rPr>
            </w:pPr>
            <w:r>
              <w:rPr>
                <w:b/>
                <w:bCs/>
                <w:sz w:val="14"/>
                <w:szCs w:val="14"/>
              </w:rPr>
              <w:t>under the Progra</w:t>
            </w:r>
            <w:r>
              <w:rPr>
                <w:b/>
                <w:bCs/>
                <w:sz w:val="14"/>
                <w:szCs w:val="14"/>
              </w:rPr>
              <w:t>m</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March 27, 2022 through April 23, 202</w:t>
            </w:r>
            <w:r>
              <w:rPr>
                <w:sz w:val="20"/>
                <w:szCs w:val="20"/>
              </w:rPr>
              <w:t>2</w:t>
            </w:r>
          </w:p>
        </w:tc>
        <w:tc>
          <w:tcPr>
            <w:tcW w:w="0" w:type="auto"/>
            <w:vAlign w:val="bottom"/>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2,15</w:t>
            </w:r>
            <w:r>
              <w:rPr>
                <w:sz w:val="20"/>
                <w:szCs w:val="20"/>
              </w:rPr>
              <w:t>2</w:t>
            </w:r>
          </w:p>
        </w:tc>
        <w:tc>
          <w:tcPr>
            <w:tcW w:w="0" w:type="auto"/>
            <w:noWrap/>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hideMark/>
          </w:tcPr>
          <w:p w:rsidR="00000000" w:rsidRDefault="00A749A6">
            <w:pPr>
              <w:pStyle w:val="a3"/>
              <w:spacing w:before="0" w:beforeAutospacing="0" w:after="0" w:afterAutospacing="0"/>
              <w:rPr>
                <w:sz w:val="20"/>
                <w:szCs w:val="20"/>
              </w:rPr>
            </w:pPr>
            <w:r>
              <w:rPr>
                <w:sz w:val="20"/>
                <w:szCs w:val="20"/>
              </w:rPr>
              <w:t>$</w:t>
            </w:r>
          </w:p>
        </w:tc>
        <w:tc>
          <w:tcPr>
            <w:tcW w:w="0" w:type="auto"/>
            <w:hideMark/>
          </w:tcPr>
          <w:p w:rsidR="00000000" w:rsidRDefault="00A749A6">
            <w:pPr>
              <w:pStyle w:val="a3"/>
              <w:spacing w:before="0" w:beforeAutospacing="0" w:after="0" w:afterAutospacing="0"/>
              <w:jc w:val="right"/>
              <w:rPr>
                <w:sz w:val="20"/>
                <w:szCs w:val="20"/>
              </w:rPr>
            </w:pPr>
            <w:r>
              <w:rPr>
                <w:sz w:val="20"/>
                <w:szCs w:val="20"/>
              </w:rPr>
              <w:t>16.3</w:t>
            </w:r>
            <w:r>
              <w:rPr>
                <w:sz w:val="20"/>
                <w:szCs w:val="20"/>
              </w:rPr>
              <w:t>2</w:t>
            </w:r>
          </w:p>
        </w:tc>
        <w:tc>
          <w:tcPr>
            <w:tcW w:w="0" w:type="auto"/>
            <w:noWrap/>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center"/>
              <w:rPr>
                <w:sz w:val="20"/>
                <w:szCs w:val="20"/>
              </w:rPr>
            </w:pPr>
            <w:r>
              <w:rPr>
                <w:sz w:val="20"/>
                <w:szCs w:val="20"/>
              </w:rPr>
              <w:t>N/</w:t>
            </w:r>
            <w:r>
              <w:rPr>
                <w:sz w:val="20"/>
                <w:szCs w:val="20"/>
              </w:rPr>
              <w:t>A</w:t>
            </w:r>
          </w:p>
        </w:tc>
        <w:tc>
          <w:tcPr>
            <w:tcW w:w="0" w:type="auto"/>
            <w:vAlign w:val="bottom"/>
            <w:hideMark/>
          </w:tcPr>
          <w:p w:rsidR="00000000" w:rsidRDefault="00A749A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center"/>
              <w:rPr>
                <w:sz w:val="20"/>
                <w:szCs w:val="20"/>
              </w:rPr>
            </w:pPr>
            <w:r>
              <w:rPr>
                <w:sz w:val="20"/>
                <w:szCs w:val="20"/>
              </w:rPr>
              <w:t>N/</w:t>
            </w:r>
            <w:r>
              <w:rPr>
                <w:sz w:val="20"/>
                <w:szCs w:val="20"/>
              </w:rPr>
              <w:t>A</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April 24, 2022 through May 21, 202</w:t>
            </w:r>
            <w:r>
              <w:rPr>
                <w:sz w:val="20"/>
                <w:szCs w:val="20"/>
              </w:rPr>
              <w:t>2</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center"/>
              <w:rPr>
                <w:sz w:val="20"/>
                <w:szCs w:val="20"/>
              </w:rPr>
            </w:pPr>
            <w:r>
              <w:rPr>
                <w:sz w:val="20"/>
                <w:szCs w:val="20"/>
              </w:rPr>
              <w:t>N/</w:t>
            </w:r>
            <w:r>
              <w:rPr>
                <w:sz w:val="20"/>
                <w:szCs w:val="20"/>
              </w:rPr>
              <w:t>A</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center"/>
              <w:rPr>
                <w:sz w:val="20"/>
                <w:szCs w:val="20"/>
              </w:rPr>
            </w:pPr>
            <w:r>
              <w:rPr>
                <w:sz w:val="20"/>
                <w:szCs w:val="20"/>
              </w:rPr>
              <w:t>N/</w:t>
            </w:r>
            <w:r>
              <w:rPr>
                <w:sz w:val="20"/>
                <w:szCs w:val="20"/>
              </w:rPr>
              <w:t>A</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May 22, 2022 through June 25, 202</w:t>
            </w:r>
            <w:r>
              <w:rPr>
                <w:sz w:val="20"/>
                <w:szCs w:val="20"/>
              </w:rPr>
              <w:t>2</w:t>
            </w:r>
          </w:p>
        </w:tc>
        <w:tc>
          <w:tcPr>
            <w:tcW w:w="0" w:type="auto"/>
            <w:vAlign w:val="bottom"/>
            <w:hideMark/>
          </w:tcPr>
          <w:p w:rsidR="00000000" w:rsidRDefault="00A749A6">
            <w:pPr>
              <w:pStyle w:val="a3"/>
              <w:spacing w:before="0" w:beforeAutospacing="0" w:after="0" w:afterAutospacing="0"/>
              <w:jc w:val="center"/>
              <w:rPr>
                <w:sz w:val="20"/>
                <w:szCs w:val="20"/>
              </w:rPr>
            </w:pPr>
            <w:r>
              <w:rPr>
                <w:sz w:val="20"/>
                <w:szCs w:val="20"/>
              </w:rPr>
              <w:t> </w:t>
            </w:r>
          </w:p>
        </w:tc>
        <w:tc>
          <w:tcPr>
            <w:tcW w:w="0" w:type="auto"/>
            <w:noWrap/>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jc w:val="right"/>
              <w:rPr>
                <w:sz w:val="20"/>
                <w:szCs w:val="20"/>
              </w:rPr>
            </w:pPr>
            <w:r>
              <w:rPr>
                <w:sz w:val="20"/>
                <w:szCs w:val="20"/>
              </w:rPr>
              <w:t>—</w:t>
            </w:r>
          </w:p>
        </w:tc>
        <w:tc>
          <w:tcPr>
            <w:tcW w:w="0" w:type="auto"/>
            <w:noWrap/>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center"/>
              <w:rPr>
                <w:sz w:val="20"/>
                <w:szCs w:val="20"/>
              </w:rPr>
            </w:pPr>
            <w:r>
              <w:rPr>
                <w:sz w:val="20"/>
                <w:szCs w:val="20"/>
              </w:rPr>
              <w:t>N/</w:t>
            </w:r>
            <w:r>
              <w:rPr>
                <w:sz w:val="20"/>
                <w:szCs w:val="20"/>
              </w:rPr>
              <w:t>A</w:t>
            </w:r>
          </w:p>
        </w:tc>
        <w:tc>
          <w:tcPr>
            <w:tcW w:w="0" w:type="auto"/>
            <w:vAlign w:val="bottom"/>
            <w:hideMark/>
          </w:tcPr>
          <w:p w:rsidR="00000000" w:rsidRDefault="00A749A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center"/>
              <w:rPr>
                <w:sz w:val="20"/>
                <w:szCs w:val="20"/>
              </w:rPr>
            </w:pPr>
            <w:r>
              <w:rPr>
                <w:sz w:val="20"/>
                <w:szCs w:val="20"/>
              </w:rPr>
              <w:t>N/</w:t>
            </w:r>
            <w:r>
              <w:rPr>
                <w:sz w:val="20"/>
                <w:szCs w:val="20"/>
              </w:rPr>
              <w:t>A</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Tota</w:t>
            </w:r>
            <w:r>
              <w:rPr>
                <w:sz w:val="20"/>
                <w:szCs w:val="20"/>
              </w:rPr>
              <w:t>l</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2,15</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w:t>
            </w:r>
          </w:p>
        </w:tc>
        <w:tc>
          <w:tcPr>
            <w:tcW w:w="0" w:type="auto"/>
            <w:vAlign w:val="bottom"/>
            <w:hideMark/>
          </w:tcPr>
          <w:p w:rsidR="00000000" w:rsidRDefault="00A749A6">
            <w:pPr>
              <w:pStyle w:val="a3"/>
              <w:spacing w:before="0" w:beforeAutospacing="0" w:after="0" w:afterAutospacing="0"/>
              <w:jc w:val="right"/>
              <w:rPr>
                <w:sz w:val="20"/>
                <w:szCs w:val="20"/>
              </w:rPr>
            </w:pPr>
            <w:r>
              <w:rPr>
                <w:sz w:val="20"/>
                <w:szCs w:val="20"/>
              </w:rPr>
              <w:t>16.3</w:t>
            </w:r>
            <w:r>
              <w:rPr>
                <w:sz w:val="20"/>
                <w:szCs w:val="20"/>
              </w:rPr>
              <w:t>2</w:t>
            </w:r>
          </w:p>
        </w:tc>
        <w:tc>
          <w:tcPr>
            <w:tcW w:w="0" w:type="auto"/>
            <w:noWrap/>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center"/>
              <w:rPr>
                <w:sz w:val="20"/>
                <w:szCs w:val="20"/>
              </w:rPr>
            </w:pPr>
            <w:r>
              <w:rPr>
                <w:sz w:val="20"/>
                <w:szCs w:val="20"/>
              </w:rPr>
              <w:t>N/</w:t>
            </w:r>
            <w:r>
              <w:rPr>
                <w:sz w:val="20"/>
                <w:szCs w:val="20"/>
              </w:rPr>
              <w:t>A</w:t>
            </w:r>
          </w:p>
        </w:tc>
        <w:tc>
          <w:tcPr>
            <w:tcW w:w="0" w:type="auto"/>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jc w:val="center"/>
              <w:rPr>
                <w:sz w:val="20"/>
                <w:szCs w:val="20"/>
              </w:rPr>
            </w:pPr>
            <w:r>
              <w:rPr>
                <w:sz w:val="20"/>
                <w:szCs w:val="20"/>
              </w:rPr>
              <w:t>N/</w:t>
            </w:r>
            <w:r>
              <w:rPr>
                <w:sz w:val="20"/>
                <w:szCs w:val="20"/>
              </w:rPr>
              <w:t>A</w:t>
            </w:r>
          </w:p>
        </w:tc>
      </w:tr>
    </w:tbl>
    <w:p w:rsidR="00000000" w:rsidRDefault="00A749A6">
      <w:pPr>
        <w:jc w:val="both"/>
        <w:divId w:val="1492520769"/>
        <w:rPr>
          <w:rFonts w:eastAsia="Times New Roman"/>
        </w:rPr>
      </w:pPr>
      <w:r>
        <w:rPr>
          <w:rFonts w:eastAsia="Times New Roman"/>
          <w:sz w:val="20"/>
          <w:szCs w:val="20"/>
        </w:rPr>
        <w:t>(1</w:t>
      </w:r>
      <w:r>
        <w:rPr>
          <w:rFonts w:eastAsia="Times New Roman"/>
          <w:sz w:val="20"/>
          <w:szCs w:val="20"/>
        </w:rPr>
        <w:t>)</w:t>
      </w:r>
    </w:p>
    <w:p w:rsidR="00000000" w:rsidRDefault="00A749A6">
      <w:pPr>
        <w:jc w:val="both"/>
        <w:divId w:val="1122841469"/>
        <w:rPr>
          <w:rFonts w:eastAsia="Times New Roman"/>
        </w:rPr>
      </w:pPr>
      <w:r>
        <w:rPr>
          <w:rFonts w:eastAsia="Times New Roman"/>
          <w:sz w:val="20"/>
          <w:szCs w:val="20"/>
        </w:rPr>
        <w:t>This represents the number of Common Units withheld from participants for income tax withholding purposes for those executive officers of the Partnership whose shares of restricted units vested during the period. Such restricted units were issued to partic</w:t>
      </w:r>
      <w:r>
        <w:rPr>
          <w:rFonts w:eastAsia="Times New Roman"/>
          <w:sz w:val="20"/>
          <w:szCs w:val="20"/>
        </w:rPr>
        <w:t>ipants pursuant to the Suburban Propane Partners, L.P. 2009 and 2018 Restricted Unit Plans that were adopted by the Partnership on July 22, 2009 and June 1, 2018, respectively</w:t>
      </w:r>
      <w:r>
        <w:rPr>
          <w:rFonts w:eastAsia="Times New Roman"/>
          <w:sz w:val="20"/>
          <w:szCs w:val="20"/>
        </w:rPr>
        <w:t>.</w:t>
      </w:r>
    </w:p>
    <w:p w:rsidR="00000000" w:rsidRDefault="00A749A6">
      <w:pPr>
        <w:pStyle w:val="a3"/>
        <w:spacing w:before="360" w:beforeAutospacing="0" w:after="0" w:afterAutospacing="0"/>
        <w:jc w:val="both"/>
        <w:rPr>
          <w:sz w:val="20"/>
          <w:szCs w:val="20"/>
        </w:rPr>
      </w:pPr>
      <w:r>
        <w:rPr>
          <w:b/>
          <w:bCs/>
          <w:sz w:val="20"/>
          <w:szCs w:val="20"/>
        </w:rPr>
        <w:t>ITEM 3. DEFAULTS UP</w:t>
      </w:r>
      <w:r>
        <w:rPr>
          <w:b/>
          <w:bCs/>
          <w:sz w:val="20"/>
          <w:szCs w:val="20"/>
        </w:rPr>
        <w:t>O</w:t>
      </w:r>
      <w:r>
        <w:rPr>
          <w:b/>
          <w:bCs/>
          <w:sz w:val="20"/>
          <w:szCs w:val="20"/>
        </w:rPr>
        <w:t>N SENIOR SECURITIE</w:t>
      </w:r>
      <w:r>
        <w:rPr>
          <w:b/>
          <w:bCs/>
          <w:sz w:val="20"/>
          <w:szCs w:val="20"/>
        </w:rPr>
        <w:t>S</w:t>
      </w:r>
    </w:p>
    <w:p w:rsidR="00000000" w:rsidRDefault="00A749A6">
      <w:pPr>
        <w:pStyle w:val="a3"/>
        <w:spacing w:before="120" w:beforeAutospacing="0" w:after="0" w:afterAutospacing="0"/>
        <w:ind w:firstLine="555"/>
        <w:jc w:val="both"/>
        <w:rPr>
          <w:sz w:val="20"/>
          <w:szCs w:val="20"/>
        </w:rPr>
      </w:pPr>
      <w:r>
        <w:rPr>
          <w:sz w:val="20"/>
          <w:szCs w:val="20"/>
        </w:rPr>
        <w:t>None</w:t>
      </w:r>
      <w:r>
        <w:rPr>
          <w:sz w:val="20"/>
          <w:szCs w:val="20"/>
        </w:rPr>
        <w:t>.</w:t>
      </w:r>
    </w:p>
    <w:p w:rsidR="00000000" w:rsidRDefault="00A749A6">
      <w:pPr>
        <w:pStyle w:val="a3"/>
        <w:spacing w:before="360" w:beforeAutospacing="0" w:after="0" w:afterAutospacing="0"/>
        <w:jc w:val="both"/>
        <w:rPr>
          <w:sz w:val="20"/>
          <w:szCs w:val="20"/>
        </w:rPr>
      </w:pPr>
      <w:r>
        <w:rPr>
          <w:b/>
          <w:bCs/>
          <w:sz w:val="20"/>
          <w:szCs w:val="20"/>
        </w:rPr>
        <w:t>ITEM 4. MINE SA</w:t>
      </w:r>
      <w:r>
        <w:rPr>
          <w:b/>
          <w:bCs/>
          <w:sz w:val="20"/>
          <w:szCs w:val="20"/>
        </w:rPr>
        <w:t>F</w:t>
      </w:r>
      <w:r>
        <w:rPr>
          <w:b/>
          <w:bCs/>
          <w:sz w:val="20"/>
          <w:szCs w:val="20"/>
        </w:rPr>
        <w:t>ETY DISCLOSURE</w:t>
      </w:r>
      <w:r>
        <w:rPr>
          <w:b/>
          <w:bCs/>
          <w:sz w:val="20"/>
          <w:szCs w:val="20"/>
        </w:rPr>
        <w:t>S</w:t>
      </w:r>
    </w:p>
    <w:p w:rsidR="00000000" w:rsidRDefault="00A749A6">
      <w:pPr>
        <w:pStyle w:val="a3"/>
        <w:spacing w:before="120" w:beforeAutospacing="0" w:after="0" w:afterAutospacing="0"/>
        <w:ind w:firstLine="555"/>
        <w:jc w:val="both"/>
        <w:rPr>
          <w:sz w:val="20"/>
          <w:szCs w:val="20"/>
        </w:rPr>
      </w:pPr>
      <w:r>
        <w:rPr>
          <w:sz w:val="20"/>
          <w:szCs w:val="20"/>
        </w:rPr>
        <w:t>N</w:t>
      </w:r>
      <w:r>
        <w:rPr>
          <w:sz w:val="20"/>
          <w:szCs w:val="20"/>
        </w:rPr>
        <w:t>ot applicable</w:t>
      </w:r>
      <w:r>
        <w:rPr>
          <w:sz w:val="20"/>
          <w:szCs w:val="20"/>
        </w:rPr>
        <w:t>.</w:t>
      </w:r>
    </w:p>
    <w:p w:rsidR="00000000" w:rsidRDefault="00A749A6">
      <w:pPr>
        <w:pStyle w:val="a3"/>
        <w:spacing w:before="360" w:beforeAutospacing="0" w:after="0" w:afterAutospacing="0"/>
        <w:jc w:val="both"/>
        <w:rPr>
          <w:sz w:val="20"/>
          <w:szCs w:val="20"/>
        </w:rPr>
      </w:pPr>
      <w:r>
        <w:rPr>
          <w:b/>
          <w:bCs/>
          <w:sz w:val="20"/>
          <w:szCs w:val="20"/>
        </w:rPr>
        <w:t>ITEM 5. OTHER</w:t>
      </w:r>
      <w:r>
        <w:rPr>
          <w:b/>
          <w:bCs/>
          <w:sz w:val="20"/>
          <w:szCs w:val="20"/>
        </w:rPr>
        <w:t xml:space="preserve"> </w:t>
      </w:r>
      <w:r>
        <w:rPr>
          <w:b/>
          <w:bCs/>
          <w:sz w:val="20"/>
          <w:szCs w:val="20"/>
        </w:rPr>
        <w:t>INFORMATIO</w:t>
      </w:r>
      <w:r>
        <w:rPr>
          <w:b/>
          <w:bCs/>
          <w:sz w:val="20"/>
          <w:szCs w:val="20"/>
        </w:rPr>
        <w:t>N</w:t>
      </w:r>
    </w:p>
    <w:p w:rsidR="00000000" w:rsidRDefault="00A749A6">
      <w:pPr>
        <w:pStyle w:val="a3"/>
        <w:spacing w:before="120" w:beforeAutospacing="0" w:after="0" w:afterAutospacing="0"/>
        <w:ind w:firstLine="555"/>
        <w:jc w:val="both"/>
        <w:rPr>
          <w:sz w:val="20"/>
          <w:szCs w:val="20"/>
        </w:rPr>
      </w:pPr>
      <w:r>
        <w:rPr>
          <w:sz w:val="20"/>
          <w:szCs w:val="20"/>
        </w:rPr>
        <w:t>None</w:t>
      </w:r>
      <w:r>
        <w:rPr>
          <w:sz w:val="20"/>
          <w:szCs w:val="20"/>
        </w:rPr>
        <w:t>.</w:t>
      </w:r>
    </w:p>
    <w:p w:rsidR="00000000" w:rsidRDefault="00A749A6">
      <w:pPr>
        <w:pStyle w:val="a3"/>
        <w:spacing w:before="0" w:beforeAutospacing="0" w:after="0" w:afterAutospacing="0"/>
        <w:jc w:val="center"/>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3</w:t>
      </w:r>
      <w:r>
        <w:rPr>
          <w:sz w:val="20"/>
          <w:szCs w:val="20"/>
        </w:rPr>
        <w:t>7</w:t>
      </w:r>
    </w:p>
    <w:p w:rsidR="00000000" w:rsidRDefault="00A749A6">
      <w:pPr>
        <w:rPr>
          <w:rFonts w:eastAsia="Times New Roman"/>
        </w:rPr>
      </w:pPr>
      <w:r>
        <w:rPr>
          <w:rFonts w:eastAsia="Times New Roman"/>
        </w:rPr>
        <w:pict>
          <v:rect id="_x0000_i1065" style="width:0;height:1.5pt" o:hralign="center" o:hrstd="t" o:hr="t" fillcolor="#a0a0a0" stroked="f"/>
        </w:pict>
      </w:r>
    </w:p>
    <w:p w:rsidR="00000000" w:rsidRDefault="00A749A6">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0" w:beforeAutospacing="0" w:after="0" w:afterAutospacing="0"/>
        <w:jc w:val="both"/>
        <w:rPr>
          <w:sz w:val="20"/>
          <w:szCs w:val="20"/>
        </w:rPr>
      </w:pPr>
      <w:r>
        <w:rPr>
          <w:b/>
          <w:bCs/>
          <w:sz w:val="20"/>
          <w:szCs w:val="20"/>
        </w:rPr>
        <w:t xml:space="preserve">ITEM 6. </w:t>
      </w:r>
      <w:r>
        <w:rPr>
          <w:b/>
          <w:bCs/>
          <w:sz w:val="20"/>
          <w:szCs w:val="20"/>
        </w:rPr>
        <w:t>E</w:t>
      </w:r>
      <w:r>
        <w:rPr>
          <w:b/>
          <w:bCs/>
          <w:sz w:val="20"/>
          <w:szCs w:val="20"/>
        </w:rPr>
        <w:t>XHIBIT</w:t>
      </w:r>
      <w:r>
        <w:rPr>
          <w:b/>
          <w:bCs/>
          <w:sz w:val="20"/>
          <w:szCs w:val="20"/>
        </w:rPr>
        <w:t>S</w:t>
      </w:r>
    </w:p>
    <w:p w:rsidR="00000000" w:rsidRDefault="00A749A6">
      <w:pPr>
        <w:jc w:val="both"/>
        <w:divId w:val="88161603"/>
        <w:rPr>
          <w:rFonts w:eastAsia="Times New Roman"/>
        </w:rPr>
      </w:pPr>
      <w:r>
        <w:rPr>
          <w:rFonts w:eastAsia="Times New Roman"/>
          <w:sz w:val="20"/>
          <w:szCs w:val="20"/>
        </w:rPr>
        <w:t>(a</w:t>
      </w:r>
      <w:r>
        <w:rPr>
          <w:rFonts w:eastAsia="Times New Roman"/>
          <w:sz w:val="20"/>
          <w:szCs w:val="20"/>
        </w:rPr>
        <w:t>)</w:t>
      </w:r>
    </w:p>
    <w:p w:rsidR="00000000" w:rsidRDefault="00A749A6">
      <w:pPr>
        <w:jc w:val="both"/>
        <w:divId w:val="1315767366"/>
        <w:rPr>
          <w:rFonts w:eastAsia="Times New Roman"/>
        </w:rPr>
      </w:pPr>
      <w:r>
        <w:rPr>
          <w:rFonts w:eastAsia="Times New Roman"/>
          <w:sz w:val="20"/>
          <w:szCs w:val="20"/>
        </w:rPr>
        <w:t>Exhibit</w:t>
      </w:r>
      <w:r>
        <w:rPr>
          <w:rFonts w:eastAsia="Times New Roman"/>
          <w:sz w:val="20"/>
          <w:szCs w:val="20"/>
        </w:rPr>
        <w:t>s</w:t>
      </w:r>
    </w:p>
    <w:p w:rsidR="00000000" w:rsidRDefault="00A749A6">
      <w:pPr>
        <w:pStyle w:val="a3"/>
        <w:spacing w:before="240" w:beforeAutospacing="0" w:after="0" w:afterAutospacing="0"/>
        <w:jc w:val="center"/>
        <w:rPr>
          <w:sz w:val="20"/>
          <w:szCs w:val="20"/>
        </w:rPr>
      </w:pPr>
      <w:r>
        <w:rPr>
          <w:b/>
          <w:bCs/>
          <w:sz w:val="20"/>
          <w:szCs w:val="20"/>
        </w:rPr>
        <w:t>INDEX TO EXHIBIT</w:t>
      </w:r>
      <w:r>
        <w:rPr>
          <w:b/>
          <w:bCs/>
          <w:sz w:val="20"/>
          <w:szCs w:val="20"/>
        </w:rPr>
        <w:t>S</w:t>
      </w:r>
    </w:p>
    <w:p w:rsidR="00000000" w:rsidRDefault="00A749A6">
      <w:pPr>
        <w:pStyle w:val="a3"/>
        <w:spacing w:before="240" w:beforeAutospacing="0" w:after="0" w:afterAutospacing="0"/>
        <w:ind w:firstLine="555"/>
        <w:jc w:val="both"/>
        <w:rPr>
          <w:sz w:val="20"/>
          <w:szCs w:val="20"/>
        </w:rPr>
      </w:pPr>
      <w:r>
        <w:rPr>
          <w:sz w:val="20"/>
          <w:szCs w:val="20"/>
        </w:rPr>
        <w:t>The exhibits listed on this Exhibit Inde</w:t>
      </w:r>
      <w:r>
        <w:rPr>
          <w:sz w:val="20"/>
          <w:szCs w:val="20"/>
        </w:rPr>
        <w:t>x are filed as part of this Quarterly Report. Exhibits required to be filed by Item 601 of Regulation S-K, which are not listed below, are not applicable</w:t>
      </w:r>
      <w:r>
        <w:rPr>
          <w:sz w:val="20"/>
          <w:szCs w:val="20"/>
        </w:rPr>
        <w:t>.</w:t>
      </w:r>
    </w:p>
    <w:p w:rsidR="00000000" w:rsidRDefault="00A749A6">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5"/>
        <w:gridCol w:w="100"/>
        <w:gridCol w:w="7381"/>
      </w:tblGrid>
      <w:tr w:rsidR="00000000">
        <w:trPr>
          <w:tblCellSpacing w:w="15" w:type="dxa"/>
        </w:trPr>
        <w:tc>
          <w:tcPr>
            <w:tcW w:w="399" w:type="pct"/>
            <w:vAlign w:val="center"/>
            <w:hideMark/>
          </w:tcPr>
          <w:p w:rsidR="00000000" w:rsidRDefault="00A749A6">
            <w:pPr>
              <w:rPr>
                <w:sz w:val="20"/>
                <w:szCs w:val="20"/>
              </w:rPr>
            </w:pPr>
          </w:p>
        </w:tc>
        <w:tc>
          <w:tcPr>
            <w:tcW w:w="50" w:type="pct"/>
            <w:vAlign w:val="center"/>
            <w:hideMark/>
          </w:tcPr>
          <w:p w:rsidR="00000000" w:rsidRDefault="00A749A6">
            <w:pPr>
              <w:rPr>
                <w:rFonts w:eastAsia="Times New Roman"/>
                <w:sz w:val="20"/>
                <w:szCs w:val="20"/>
              </w:rPr>
            </w:pPr>
          </w:p>
        </w:tc>
        <w:tc>
          <w:tcPr>
            <w:tcW w:w="4550" w:type="pct"/>
            <w:vAlign w:val="center"/>
            <w:hideMark/>
          </w:tcPr>
          <w:p w:rsidR="00000000" w:rsidRDefault="00A749A6">
            <w:pPr>
              <w:rPr>
                <w:rFonts w:eastAsia="Times New Roman"/>
                <w:sz w:val="20"/>
                <w:szCs w:val="20"/>
              </w:rPr>
            </w:pPr>
          </w:p>
        </w:tc>
      </w:tr>
      <w:tr w:rsidR="00000000">
        <w:trPr>
          <w:trHeight w:val="160"/>
          <w:tblCellSpacing w:w="15" w:type="dxa"/>
        </w:trPr>
        <w:tc>
          <w:tcPr>
            <w:tcW w:w="0" w:type="auto"/>
            <w:tcBorders>
              <w:bottom w:val="single" w:sz="4" w:space="0" w:color="auto"/>
            </w:tcBorders>
            <w:hideMark/>
          </w:tcPr>
          <w:p w:rsidR="00000000" w:rsidRDefault="00A749A6">
            <w:pPr>
              <w:pStyle w:val="a3"/>
              <w:spacing w:before="0" w:beforeAutospacing="0" w:after="0" w:afterAutospacing="0"/>
              <w:rPr>
                <w:sz w:val="16"/>
                <w:szCs w:val="16"/>
              </w:rPr>
            </w:pPr>
            <w:r>
              <w:rPr>
                <w:b/>
                <w:bCs/>
                <w:sz w:val="16"/>
                <w:szCs w:val="16"/>
              </w:rPr>
              <w:t>Exhibi</w:t>
            </w:r>
            <w:r>
              <w:rPr>
                <w:b/>
                <w:bCs/>
                <w:sz w:val="16"/>
                <w:szCs w:val="16"/>
              </w:rPr>
              <w:t>t</w:t>
            </w:r>
          </w:p>
          <w:p w:rsidR="00000000" w:rsidRDefault="00A749A6">
            <w:pPr>
              <w:pStyle w:val="a3"/>
              <w:spacing w:before="0" w:beforeAutospacing="0" w:after="0" w:afterAutospacing="0"/>
              <w:rPr>
                <w:sz w:val="16"/>
                <w:szCs w:val="16"/>
              </w:rPr>
            </w:pPr>
            <w:r>
              <w:rPr>
                <w:b/>
                <w:bCs/>
                <w:sz w:val="16"/>
                <w:szCs w:val="16"/>
              </w:rPr>
              <w:t>Numbe</w:t>
            </w:r>
            <w:r>
              <w:rPr>
                <w:b/>
                <w:bCs/>
                <w:sz w:val="16"/>
                <w:szCs w:val="16"/>
              </w:rPr>
              <w:t>r</w:t>
            </w:r>
          </w:p>
        </w:tc>
        <w:tc>
          <w:tcPr>
            <w:tcW w:w="0" w:type="auto"/>
            <w:vAlign w:val="bottom"/>
            <w:hideMark/>
          </w:tcPr>
          <w:p w:rsidR="00000000" w:rsidRDefault="00A749A6">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rsidR="00000000" w:rsidRDefault="00A749A6">
            <w:pPr>
              <w:pStyle w:val="a3"/>
              <w:spacing w:before="0" w:beforeAutospacing="0" w:after="0" w:afterAutospacing="0"/>
              <w:rPr>
                <w:sz w:val="16"/>
                <w:szCs w:val="16"/>
              </w:rPr>
            </w:pPr>
            <w:r>
              <w:rPr>
                <w:b/>
                <w:bCs/>
                <w:sz w:val="16"/>
                <w:szCs w:val="16"/>
              </w:rPr>
              <w:t>Descriptio</w:t>
            </w:r>
            <w:r>
              <w:rPr>
                <w:b/>
                <w:bCs/>
                <w:sz w:val="16"/>
                <w:szCs w:val="16"/>
              </w:rPr>
              <w:t>n</w:t>
            </w:r>
          </w:p>
        </w:tc>
      </w:tr>
      <w:tr w:rsidR="00000000">
        <w:trPr>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both"/>
              <w:rPr>
                <w:sz w:val="12"/>
                <w:szCs w:val="12"/>
              </w:rPr>
            </w:pPr>
            <w:r>
              <w:rPr>
                <w:sz w:val="12"/>
                <w:szCs w:val="12"/>
              </w:rPr>
              <w:t> </w:t>
            </w:r>
          </w:p>
        </w:tc>
      </w:tr>
      <w:tr w:rsidR="00000000">
        <w:trPr>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both"/>
              <w:rPr>
                <w:sz w:val="12"/>
                <w:szCs w:val="12"/>
              </w:rPr>
            </w:pPr>
            <w:r>
              <w:rPr>
                <w:sz w:val="12"/>
                <w:szCs w:val="12"/>
              </w:rPr>
              <w:t> </w:t>
            </w:r>
          </w:p>
        </w:tc>
      </w:tr>
      <w:tr w:rsidR="00000000">
        <w:trPr>
          <w:trHeight w:val="200"/>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  10.</w:t>
            </w:r>
            <w:r>
              <w:rPr>
                <w:sz w:val="20"/>
                <w:szCs w:val="20"/>
              </w:rPr>
              <w:t>1</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both"/>
              <w:rPr>
                <w:sz w:val="20"/>
                <w:szCs w:val="20"/>
              </w:rPr>
            </w:pPr>
            <w:hyperlink r:id="rId4" w:history="1">
              <w:r>
                <w:rPr>
                  <w:rStyle w:val="a4"/>
                  <w:sz w:val="20"/>
                  <w:szCs w:val="20"/>
                </w:rPr>
                <w:t>Suburban Propane, L.P. 2021 Long-Term Incentive Plan, effective September 27, 2020, as amended on February 2, 2022. (Incorporated by reference to Exhibit 1</w:t>
              </w:r>
              <w:r>
                <w:rPr>
                  <w:rStyle w:val="a4"/>
                  <w:sz w:val="20"/>
                  <w:szCs w:val="20"/>
                </w:rPr>
                <w:t xml:space="preserve">0.1 to the Company’s Quarterly Report on Form 10-Q filed February 3, 2022). </w:t>
              </w:r>
              <w:r>
                <w:rPr>
                  <w:rStyle w:val="a4"/>
                  <w:sz w:val="20"/>
                  <w:szCs w:val="20"/>
                </w:rPr>
                <w:t>#</w:t>
              </w:r>
            </w:hyperlink>
          </w:p>
        </w:tc>
      </w:tr>
      <w:tr w:rsidR="00000000">
        <w:trPr>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both"/>
              <w:rPr>
                <w:sz w:val="12"/>
                <w:szCs w:val="12"/>
              </w:rPr>
            </w:pPr>
            <w:r>
              <w:rPr>
                <w:sz w:val="12"/>
                <w:szCs w:val="12"/>
              </w:rPr>
              <w:t> </w:t>
            </w:r>
          </w:p>
        </w:tc>
      </w:tr>
      <w:tr w:rsidR="00000000">
        <w:trPr>
          <w:trHeight w:val="202"/>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  31.</w:t>
            </w:r>
            <w:r>
              <w:rPr>
                <w:sz w:val="20"/>
                <w:szCs w:val="20"/>
              </w:rPr>
              <w:t>1</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20"/>
                <w:szCs w:val="20"/>
              </w:rPr>
            </w:pPr>
            <w:hyperlink r:id="rId5" w:history="1">
              <w:r>
                <w:rPr>
                  <w:rStyle w:val="a4"/>
                  <w:sz w:val="20"/>
                  <w:szCs w:val="20"/>
                </w:rPr>
                <w:t>Certification of the President and Chief Executive Officer Pursuant to Section 302 of the Sarbanes-Oxley Act of 2002. (Filed herew</w:t>
              </w:r>
              <w:r>
                <w:rPr>
                  <w:rStyle w:val="a4"/>
                  <w:sz w:val="20"/>
                  <w:szCs w:val="20"/>
                </w:rPr>
                <w:t>ith)</w:t>
              </w:r>
              <w:r>
                <w:rPr>
                  <w:rStyle w:val="a4"/>
                  <w:sz w:val="20"/>
                  <w:szCs w:val="20"/>
                </w:rPr>
                <w:t>.</w:t>
              </w:r>
            </w:hyperlink>
          </w:p>
        </w:tc>
      </w:tr>
      <w:tr w:rsidR="00000000">
        <w:trPr>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both"/>
              <w:rPr>
                <w:sz w:val="12"/>
                <w:szCs w:val="12"/>
              </w:rPr>
            </w:pPr>
            <w:r>
              <w:rPr>
                <w:sz w:val="12"/>
                <w:szCs w:val="12"/>
              </w:rPr>
              <w:t> </w:t>
            </w:r>
          </w:p>
        </w:tc>
      </w:tr>
      <w:tr w:rsidR="00000000">
        <w:trPr>
          <w:trHeight w:val="202"/>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  31.</w:t>
            </w:r>
            <w:r>
              <w:rPr>
                <w:sz w:val="20"/>
                <w:szCs w:val="20"/>
              </w:rPr>
              <w:t>2</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20"/>
                <w:szCs w:val="20"/>
              </w:rPr>
            </w:pPr>
            <w:hyperlink r:id="rId6" w:history="1">
              <w:r>
                <w:rPr>
                  <w:rStyle w:val="a4"/>
                  <w:sz w:val="20"/>
                  <w:szCs w:val="20"/>
                </w:rPr>
                <w:t>Certification of the Chief Financial Officer and Chief Accounting Officer Pursuant to Section 302 of the Sarbanes-Oxley Act of 2002. (Filed herewith)</w:t>
              </w:r>
              <w:r>
                <w:rPr>
                  <w:rStyle w:val="a4"/>
                  <w:sz w:val="20"/>
                  <w:szCs w:val="20"/>
                </w:rPr>
                <w:t>.</w:t>
              </w:r>
            </w:hyperlink>
          </w:p>
        </w:tc>
      </w:tr>
      <w:tr w:rsidR="00000000">
        <w:trPr>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both"/>
              <w:rPr>
                <w:sz w:val="12"/>
                <w:szCs w:val="12"/>
              </w:rPr>
            </w:pPr>
            <w:r>
              <w:rPr>
                <w:sz w:val="12"/>
                <w:szCs w:val="12"/>
              </w:rPr>
              <w:t> </w:t>
            </w:r>
          </w:p>
        </w:tc>
      </w:tr>
      <w:tr w:rsidR="00000000">
        <w:trPr>
          <w:trHeight w:val="202"/>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  32.</w:t>
            </w:r>
            <w:r>
              <w:rPr>
                <w:sz w:val="20"/>
                <w:szCs w:val="20"/>
              </w:rPr>
              <w:t>1</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20"/>
                <w:szCs w:val="20"/>
              </w:rPr>
            </w:pPr>
            <w:hyperlink r:id="rId7" w:history="1">
              <w:r>
                <w:rPr>
                  <w:rStyle w:val="a4"/>
                  <w:sz w:val="20"/>
                  <w:szCs w:val="20"/>
                </w:rPr>
                <w:t>Certification of the President and Chief Executive Officer Pursuant to 18 U.S.C. Section 1350, as Adopted Pursuant to Section 906 of the Sarbanes-Oxley Act of 2002. (Furnished herewith)</w:t>
              </w:r>
              <w:r>
                <w:rPr>
                  <w:rStyle w:val="a4"/>
                  <w:sz w:val="20"/>
                  <w:szCs w:val="20"/>
                </w:rPr>
                <w:t>.</w:t>
              </w:r>
            </w:hyperlink>
          </w:p>
        </w:tc>
      </w:tr>
      <w:tr w:rsidR="00000000">
        <w:trPr>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both"/>
              <w:rPr>
                <w:sz w:val="12"/>
                <w:szCs w:val="12"/>
              </w:rPr>
            </w:pPr>
            <w:r>
              <w:rPr>
                <w:sz w:val="12"/>
                <w:szCs w:val="12"/>
              </w:rPr>
              <w:t> </w:t>
            </w:r>
          </w:p>
        </w:tc>
      </w:tr>
      <w:tr w:rsidR="00000000">
        <w:trPr>
          <w:trHeight w:val="202"/>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  32.</w:t>
            </w:r>
            <w:r>
              <w:rPr>
                <w:sz w:val="20"/>
                <w:szCs w:val="20"/>
              </w:rPr>
              <w:t>2</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20"/>
                <w:szCs w:val="20"/>
              </w:rPr>
            </w:pPr>
            <w:hyperlink r:id="rId8" w:history="1">
              <w:r>
                <w:rPr>
                  <w:rStyle w:val="a4"/>
                  <w:sz w:val="20"/>
                  <w:szCs w:val="20"/>
                </w:rPr>
                <w:t>Certification of the Chief Financial Officer and Chief Accounting Officer Pursuant to 18 U.S.C. Section 1350, as Adopted Pursuant to Section 906 of the Sarbanes-Oxley Act of 2002. (Furnished herewith)</w:t>
              </w:r>
              <w:r>
                <w:rPr>
                  <w:rStyle w:val="a4"/>
                  <w:sz w:val="20"/>
                  <w:szCs w:val="20"/>
                </w:rPr>
                <w:t>.</w:t>
              </w:r>
            </w:hyperlink>
          </w:p>
        </w:tc>
      </w:tr>
      <w:tr w:rsidR="00000000">
        <w:trPr>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both"/>
              <w:rPr>
                <w:sz w:val="12"/>
                <w:szCs w:val="12"/>
              </w:rPr>
            </w:pPr>
            <w:r>
              <w:rPr>
                <w:sz w:val="12"/>
                <w:szCs w:val="12"/>
              </w:rPr>
              <w:t> </w:t>
            </w:r>
          </w:p>
        </w:tc>
      </w:tr>
      <w:tr w:rsidR="00000000">
        <w:trPr>
          <w:trHeight w:val="202"/>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101.IN</w:t>
            </w:r>
            <w:r>
              <w:rPr>
                <w:sz w:val="20"/>
                <w:szCs w:val="20"/>
              </w:rPr>
              <w:t>S</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20"/>
                <w:szCs w:val="20"/>
              </w:rPr>
            </w:pPr>
            <w:r>
              <w:rPr>
                <w:sz w:val="20"/>
                <w:szCs w:val="20"/>
              </w:rPr>
              <w:t xml:space="preserve">XBRL </w:t>
            </w:r>
            <w:r>
              <w:rPr>
                <w:sz w:val="20"/>
                <w:szCs w:val="20"/>
              </w:rPr>
              <w:t>Instance Document – the instance document does not appear in the Interactive Data File because its XBRL tags are embedded within the Inline XBRL document</w:t>
            </w:r>
            <w:r>
              <w:rPr>
                <w:sz w:val="20"/>
                <w:szCs w:val="20"/>
              </w:rPr>
              <w:t>.</w:t>
            </w:r>
          </w:p>
        </w:tc>
      </w:tr>
      <w:tr w:rsidR="00000000">
        <w:trPr>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both"/>
              <w:rPr>
                <w:sz w:val="12"/>
                <w:szCs w:val="12"/>
              </w:rPr>
            </w:pPr>
            <w:r>
              <w:rPr>
                <w:sz w:val="12"/>
                <w:szCs w:val="12"/>
              </w:rPr>
              <w:t> </w:t>
            </w:r>
          </w:p>
        </w:tc>
      </w:tr>
      <w:tr w:rsidR="00000000">
        <w:trPr>
          <w:trHeight w:val="202"/>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101.SC</w:t>
            </w:r>
            <w:r>
              <w:rPr>
                <w:sz w:val="20"/>
                <w:szCs w:val="20"/>
              </w:rPr>
              <w:t>H</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20"/>
                <w:szCs w:val="20"/>
              </w:rPr>
            </w:pPr>
            <w:r>
              <w:rPr>
                <w:sz w:val="20"/>
                <w:szCs w:val="20"/>
              </w:rPr>
              <w:t>Inline XBRL Taxonomy Extension Schema Documen</w:t>
            </w:r>
            <w:r>
              <w:rPr>
                <w:sz w:val="20"/>
                <w:szCs w:val="20"/>
              </w:rPr>
              <w:t>t</w:t>
            </w:r>
          </w:p>
        </w:tc>
      </w:tr>
      <w:tr w:rsidR="00000000">
        <w:trPr>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both"/>
              <w:rPr>
                <w:sz w:val="12"/>
                <w:szCs w:val="12"/>
              </w:rPr>
            </w:pPr>
            <w:r>
              <w:rPr>
                <w:sz w:val="12"/>
                <w:szCs w:val="12"/>
              </w:rPr>
              <w:t> </w:t>
            </w:r>
          </w:p>
        </w:tc>
      </w:tr>
      <w:tr w:rsidR="00000000">
        <w:trPr>
          <w:trHeight w:val="202"/>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101.CA</w:t>
            </w:r>
            <w:r>
              <w:rPr>
                <w:sz w:val="20"/>
                <w:szCs w:val="20"/>
              </w:rPr>
              <w:t>L</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20"/>
                <w:szCs w:val="20"/>
              </w:rPr>
            </w:pPr>
            <w:r>
              <w:rPr>
                <w:sz w:val="20"/>
                <w:szCs w:val="20"/>
              </w:rPr>
              <w:t>Inline XBRL Taxonomy Extension Calculation Linkbase Documen</w:t>
            </w:r>
            <w:r>
              <w:rPr>
                <w:sz w:val="20"/>
                <w:szCs w:val="20"/>
              </w:rPr>
              <w:t>t</w:t>
            </w:r>
          </w:p>
        </w:tc>
      </w:tr>
      <w:tr w:rsidR="00000000">
        <w:trPr>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both"/>
              <w:rPr>
                <w:sz w:val="12"/>
                <w:szCs w:val="12"/>
              </w:rPr>
            </w:pPr>
            <w:r>
              <w:rPr>
                <w:sz w:val="12"/>
                <w:szCs w:val="12"/>
              </w:rPr>
              <w:t> </w:t>
            </w:r>
          </w:p>
        </w:tc>
      </w:tr>
      <w:tr w:rsidR="00000000">
        <w:trPr>
          <w:trHeight w:val="202"/>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101.DE</w:t>
            </w:r>
            <w:r>
              <w:rPr>
                <w:sz w:val="20"/>
                <w:szCs w:val="20"/>
              </w:rPr>
              <w:t>F</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20"/>
                <w:szCs w:val="20"/>
              </w:rPr>
            </w:pPr>
            <w:r>
              <w:rPr>
                <w:sz w:val="20"/>
                <w:szCs w:val="20"/>
              </w:rPr>
              <w:t>Inline XBRL Taxonomy Extension Definition Linkbase Documen</w:t>
            </w:r>
            <w:r>
              <w:rPr>
                <w:sz w:val="20"/>
                <w:szCs w:val="20"/>
              </w:rPr>
              <w:t>t</w:t>
            </w:r>
          </w:p>
        </w:tc>
      </w:tr>
      <w:tr w:rsidR="00000000">
        <w:trPr>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both"/>
              <w:rPr>
                <w:sz w:val="12"/>
                <w:szCs w:val="12"/>
              </w:rPr>
            </w:pPr>
            <w:r>
              <w:rPr>
                <w:sz w:val="12"/>
                <w:szCs w:val="12"/>
              </w:rPr>
              <w:t> </w:t>
            </w:r>
          </w:p>
        </w:tc>
      </w:tr>
      <w:tr w:rsidR="00000000">
        <w:trPr>
          <w:trHeight w:val="202"/>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101.LA</w:t>
            </w:r>
            <w:r>
              <w:rPr>
                <w:sz w:val="20"/>
                <w:szCs w:val="20"/>
              </w:rPr>
              <w:t>B</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20"/>
                <w:szCs w:val="20"/>
              </w:rPr>
            </w:pPr>
            <w:r>
              <w:rPr>
                <w:sz w:val="20"/>
                <w:szCs w:val="20"/>
              </w:rPr>
              <w:t>Inline XBRL Taxonomy Extension Label Linkbase Documen</w:t>
            </w:r>
            <w:r>
              <w:rPr>
                <w:sz w:val="20"/>
                <w:szCs w:val="20"/>
              </w:rPr>
              <w:t>t</w:t>
            </w:r>
          </w:p>
        </w:tc>
      </w:tr>
      <w:tr w:rsidR="00000000">
        <w:trPr>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both"/>
              <w:rPr>
                <w:sz w:val="12"/>
                <w:szCs w:val="12"/>
              </w:rPr>
            </w:pPr>
            <w:r>
              <w:rPr>
                <w:sz w:val="12"/>
                <w:szCs w:val="12"/>
              </w:rPr>
              <w:t> </w:t>
            </w:r>
          </w:p>
        </w:tc>
      </w:tr>
      <w:tr w:rsidR="00000000">
        <w:trPr>
          <w:trHeight w:val="202"/>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101.PR</w:t>
            </w:r>
            <w:r>
              <w:rPr>
                <w:sz w:val="20"/>
                <w:szCs w:val="20"/>
              </w:rPr>
              <w:t>E</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20"/>
                <w:szCs w:val="20"/>
              </w:rPr>
            </w:pPr>
            <w:r>
              <w:rPr>
                <w:sz w:val="20"/>
                <w:szCs w:val="20"/>
              </w:rPr>
              <w:t>Inline XBRL Taxonomy Extension Presentation Linkbase Documen</w:t>
            </w:r>
            <w:r>
              <w:rPr>
                <w:sz w:val="20"/>
                <w:szCs w:val="20"/>
              </w:rPr>
              <w:t>t</w:t>
            </w:r>
          </w:p>
        </w:tc>
      </w:tr>
      <w:tr w:rsidR="00000000">
        <w:trPr>
          <w:tblCellSpacing w:w="15" w:type="dxa"/>
        </w:trPr>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jc w:val="both"/>
              <w:rPr>
                <w:sz w:val="12"/>
                <w:szCs w:val="12"/>
              </w:rPr>
            </w:pPr>
            <w:r>
              <w:rPr>
                <w:sz w:val="12"/>
                <w:szCs w:val="12"/>
              </w:rPr>
              <w:t> </w:t>
            </w:r>
          </w:p>
        </w:tc>
      </w:tr>
      <w:tr w:rsidR="00000000">
        <w:trPr>
          <w:trHeight w:val="202"/>
          <w:tblCellSpacing w:w="15" w:type="dxa"/>
        </w:trPr>
        <w:tc>
          <w:tcPr>
            <w:tcW w:w="0" w:type="auto"/>
            <w:hideMark/>
          </w:tcPr>
          <w:p w:rsidR="00000000" w:rsidRDefault="00A749A6">
            <w:pPr>
              <w:pStyle w:val="a3"/>
              <w:spacing w:before="0" w:beforeAutospacing="0" w:after="0" w:afterAutospacing="0"/>
              <w:rPr>
                <w:sz w:val="20"/>
                <w:szCs w:val="20"/>
              </w:rPr>
            </w:pPr>
            <w:r>
              <w:rPr>
                <w:sz w:val="20"/>
                <w:szCs w:val="20"/>
              </w:rPr>
              <w:t>10</w:t>
            </w:r>
            <w:r>
              <w:rPr>
                <w:sz w:val="20"/>
                <w:szCs w:val="20"/>
              </w:rPr>
              <w:t>4</w:t>
            </w:r>
          </w:p>
        </w:tc>
        <w:tc>
          <w:tcPr>
            <w:tcW w:w="0" w:type="auto"/>
            <w:hideMark/>
          </w:tcPr>
          <w:p w:rsidR="00000000" w:rsidRDefault="00A749A6">
            <w:pPr>
              <w:pStyle w:val="a3"/>
              <w:spacing w:before="0" w:beforeAutospacing="0" w:after="0" w:afterAutospacing="0"/>
              <w:rPr>
                <w:sz w:val="12"/>
                <w:szCs w:val="12"/>
              </w:rPr>
            </w:pPr>
            <w:r>
              <w:rPr>
                <w:sz w:val="12"/>
                <w:szCs w:val="12"/>
              </w:rPr>
              <w:t> </w:t>
            </w:r>
          </w:p>
        </w:tc>
        <w:tc>
          <w:tcPr>
            <w:tcW w:w="0" w:type="auto"/>
            <w:hideMark/>
          </w:tcPr>
          <w:p w:rsidR="00000000" w:rsidRDefault="00A749A6">
            <w:pPr>
              <w:pStyle w:val="a3"/>
              <w:spacing w:before="0" w:beforeAutospacing="0" w:after="0" w:afterAutospacing="0"/>
              <w:rPr>
                <w:sz w:val="20"/>
                <w:szCs w:val="20"/>
              </w:rPr>
            </w:pPr>
            <w:r>
              <w:rPr>
                <w:sz w:val="20"/>
                <w:szCs w:val="20"/>
              </w:rPr>
              <w:t xml:space="preserve">Cover Page Interactive Data File – the cover page interactive data file does not appear in the Interactive </w:t>
            </w:r>
            <w:r>
              <w:rPr>
                <w:sz w:val="20"/>
                <w:szCs w:val="20"/>
              </w:rPr>
              <w:t>Data File because its XBRL tags are embedded within the Inline XBRL document</w:t>
            </w:r>
            <w:r>
              <w:rPr>
                <w:sz w:val="20"/>
                <w:szCs w:val="20"/>
              </w:rPr>
              <w:t>.</w:t>
            </w:r>
          </w:p>
        </w:tc>
      </w:tr>
    </w:tbl>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3</w:t>
      </w:r>
      <w:r>
        <w:rPr>
          <w:sz w:val="20"/>
          <w:szCs w:val="20"/>
        </w:rPr>
        <w:t>8</w:t>
      </w:r>
    </w:p>
    <w:p w:rsidR="00000000" w:rsidRDefault="00A749A6">
      <w:pPr>
        <w:rPr>
          <w:rFonts w:eastAsia="Times New Roman"/>
        </w:rPr>
      </w:pPr>
      <w:r>
        <w:rPr>
          <w:rFonts w:eastAsia="Times New Roman"/>
        </w:rPr>
        <w:pict>
          <v:rect id="_x0000_i1066" style="width:0;height:1.5pt" o:hralign="center" o:hrstd="t" o:hr="t" fillcolor="#a0a0a0" stroked="f"/>
        </w:pict>
      </w:r>
    </w:p>
    <w:p w:rsidR="00000000" w:rsidRDefault="00A749A6">
      <w:pPr>
        <w:pStyle w:val="a3"/>
        <w:spacing w:before="0" w:beforeAutospacing="0" w:after="0" w:afterAutospacing="0"/>
        <w:rPr>
          <w:sz w:val="20"/>
          <w:szCs w:val="20"/>
        </w:rPr>
      </w:pPr>
      <w:hyperlink w:anchor="suburban_propane_partners_lp_subsidiari" w:history="1">
        <w:r>
          <w:rPr>
            <w:rStyle w:val="a4"/>
            <w:sz w:val="20"/>
            <w:szCs w:val="20"/>
          </w:rPr>
          <w:t>Table of Content</w:t>
        </w:r>
        <w:r>
          <w:rPr>
            <w:rStyle w:val="a4"/>
            <w:sz w:val="20"/>
            <w:szCs w:val="20"/>
          </w:rPr>
          <w:t>s</w:t>
        </w:r>
      </w:hyperlink>
    </w:p>
    <w:p w:rsidR="00000000" w:rsidRDefault="00A749A6">
      <w:pPr>
        <w:pStyle w:val="a3"/>
        <w:spacing w:before="0" w:beforeAutospacing="0" w:after="0" w:afterAutospacing="0"/>
        <w:jc w:val="both"/>
        <w:rPr>
          <w:sz w:val="20"/>
          <w:szCs w:val="20"/>
        </w:rPr>
      </w:pPr>
      <w:r>
        <w:rPr>
          <w:b/>
          <w:bCs/>
          <w:sz w:val="20"/>
          <w:szCs w:val="20"/>
        </w:rPr>
        <w:t>SIGN</w:t>
      </w:r>
      <w:r>
        <w:rPr>
          <w:b/>
          <w:bCs/>
          <w:sz w:val="20"/>
          <w:szCs w:val="20"/>
        </w:rPr>
        <w:t>A</w:t>
      </w:r>
      <w:r>
        <w:rPr>
          <w:b/>
          <w:bCs/>
          <w:sz w:val="20"/>
          <w:szCs w:val="20"/>
        </w:rPr>
        <w:t>TURE</w:t>
      </w:r>
      <w:r>
        <w:rPr>
          <w:b/>
          <w:bCs/>
          <w:sz w:val="20"/>
          <w:szCs w:val="20"/>
        </w:rPr>
        <w:t>S</w:t>
      </w:r>
    </w:p>
    <w:p w:rsidR="00000000" w:rsidRDefault="00A749A6">
      <w:pPr>
        <w:pStyle w:val="a3"/>
        <w:spacing w:before="120" w:beforeAutospacing="0" w:after="0" w:afterAutospacing="0"/>
        <w:ind w:firstLine="555"/>
        <w:jc w:val="both"/>
        <w:rPr>
          <w:sz w:val="20"/>
          <w:szCs w:val="20"/>
        </w:rPr>
      </w:pPr>
      <w:r>
        <w:rPr>
          <w:sz w:val="20"/>
          <w:szCs w:val="20"/>
        </w:rPr>
        <w:t>Pursuant to the requirements of the Securities Exchange Act of 1934, the registrant has duly caused this report to be signed on i</w:t>
      </w:r>
      <w:r>
        <w:rPr>
          <w:sz w:val="20"/>
          <w:szCs w:val="20"/>
        </w:rPr>
        <w:t>ts behalf by the undersigned thereunto duly authorized</w:t>
      </w:r>
      <w:r>
        <w:rPr>
          <w:sz w:val="20"/>
          <w:szCs w:val="20"/>
        </w:rPr>
        <w:t>.</w:t>
      </w:r>
    </w:p>
    <w:p w:rsidR="00000000" w:rsidRDefault="00A749A6">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8"/>
        <w:gridCol w:w="349"/>
        <w:gridCol w:w="120"/>
        <w:gridCol w:w="3289"/>
      </w:tblGrid>
      <w:tr w:rsidR="00000000">
        <w:trPr>
          <w:tblCellSpacing w:w="15" w:type="dxa"/>
        </w:trPr>
        <w:tc>
          <w:tcPr>
            <w:tcW w:w="2771" w:type="pct"/>
            <w:vAlign w:val="center"/>
            <w:hideMark/>
          </w:tcPr>
          <w:p w:rsidR="00000000" w:rsidRDefault="00A749A6">
            <w:pPr>
              <w:rPr>
                <w:sz w:val="20"/>
                <w:szCs w:val="20"/>
              </w:rPr>
            </w:pPr>
          </w:p>
        </w:tc>
        <w:tc>
          <w:tcPr>
            <w:tcW w:w="178" w:type="pct"/>
            <w:vAlign w:val="center"/>
            <w:hideMark/>
          </w:tcPr>
          <w:p w:rsidR="00000000" w:rsidRDefault="00A749A6">
            <w:pPr>
              <w:rPr>
                <w:rFonts w:eastAsia="Times New Roman"/>
                <w:sz w:val="20"/>
                <w:szCs w:val="20"/>
              </w:rPr>
            </w:pPr>
          </w:p>
        </w:tc>
        <w:tc>
          <w:tcPr>
            <w:tcW w:w="50" w:type="pct"/>
            <w:vAlign w:val="center"/>
            <w:hideMark/>
          </w:tcPr>
          <w:p w:rsidR="00000000" w:rsidRDefault="00A749A6">
            <w:pPr>
              <w:rPr>
                <w:rFonts w:eastAsia="Times New Roman"/>
                <w:sz w:val="20"/>
                <w:szCs w:val="20"/>
              </w:rPr>
            </w:pPr>
          </w:p>
        </w:tc>
        <w:tc>
          <w:tcPr>
            <w:tcW w:w="2000" w:type="pct"/>
            <w:vAlign w:val="center"/>
            <w:hideMark/>
          </w:tcPr>
          <w:p w:rsidR="00000000" w:rsidRDefault="00A749A6">
            <w:pPr>
              <w:rPr>
                <w:rFonts w:eastAsia="Times New Roman"/>
                <w:sz w:val="20"/>
                <w:szCs w:val="20"/>
              </w:rPr>
            </w:pPr>
          </w:p>
        </w:tc>
      </w:tr>
      <w:tr w:rsidR="00000000">
        <w:trPr>
          <w:trHeight w:val="14"/>
          <w:tblCellSpacing w:w="15" w:type="dxa"/>
        </w:trPr>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gridSpan w:val="3"/>
            <w:vAlign w:val="bottom"/>
            <w:hideMark/>
          </w:tcPr>
          <w:p w:rsidR="00000000" w:rsidRDefault="00A749A6">
            <w:pPr>
              <w:pStyle w:val="a3"/>
              <w:spacing w:before="0" w:beforeAutospacing="0" w:after="0" w:afterAutospacing="0"/>
              <w:rPr>
                <w:sz w:val="20"/>
                <w:szCs w:val="20"/>
              </w:rPr>
            </w:pPr>
            <w:r>
              <w:rPr>
                <w:sz w:val="20"/>
                <w:szCs w:val="20"/>
              </w:rPr>
              <w:t>SUBURBAN PROPANE PARTNERS, L.P</w:t>
            </w:r>
            <w:r>
              <w:rPr>
                <w:sz w:val="20"/>
                <w:szCs w:val="20"/>
              </w:rPr>
              <w:t>.</w:t>
            </w:r>
          </w:p>
        </w:tc>
      </w:tr>
      <w:tr w:rsidR="00000000">
        <w:trPr>
          <w:trHeight w:val="14"/>
          <w:tblCellSpacing w:w="15" w:type="dxa"/>
        </w:trPr>
        <w:tc>
          <w:tcPr>
            <w:tcW w:w="0" w:type="auto"/>
            <w:vAlign w:val="bottom"/>
            <w:hideMark/>
          </w:tcPr>
          <w:p w:rsidR="00000000" w:rsidRDefault="00A749A6">
            <w:pPr>
              <w:pStyle w:val="a3"/>
              <w:spacing w:before="0" w:beforeAutospacing="0" w:after="0" w:afterAutospacing="0"/>
            </w:pPr>
            <w:r>
              <w:t> </w:t>
            </w:r>
          </w:p>
        </w:tc>
        <w:tc>
          <w:tcPr>
            <w:tcW w:w="0" w:type="auto"/>
            <w:vAlign w:val="bottom"/>
            <w:hideMark/>
          </w:tcPr>
          <w:p w:rsidR="00000000" w:rsidRDefault="00A749A6">
            <w:pPr>
              <w:pStyle w:val="a3"/>
              <w:spacing w:before="0" w:beforeAutospacing="0" w:after="0" w:afterAutospacing="0"/>
            </w:pPr>
            <w:r>
              <w:t> </w:t>
            </w:r>
          </w:p>
        </w:tc>
        <w:tc>
          <w:tcPr>
            <w:tcW w:w="0" w:type="auto"/>
            <w:vAlign w:val="bottom"/>
            <w:hideMark/>
          </w:tcPr>
          <w:p w:rsidR="00000000" w:rsidRDefault="00A749A6">
            <w:pPr>
              <w:pStyle w:val="a3"/>
              <w:spacing w:before="0" w:beforeAutospacing="0" w:after="0" w:afterAutospacing="0"/>
            </w:pPr>
            <w:r>
              <w:t> </w:t>
            </w:r>
          </w:p>
        </w:tc>
        <w:tc>
          <w:tcPr>
            <w:tcW w:w="0" w:type="auto"/>
            <w:vAlign w:val="bottom"/>
            <w:hideMark/>
          </w:tcPr>
          <w:p w:rsidR="00000000" w:rsidRDefault="00A749A6">
            <w:pPr>
              <w:pStyle w:val="a3"/>
              <w:spacing w:before="0" w:beforeAutospacing="0" w:after="0" w:afterAutospacing="0"/>
            </w:pPr>
            <w:r>
              <w:t> </w:t>
            </w:r>
          </w:p>
        </w:tc>
      </w:tr>
      <w:tr w:rsidR="00000000">
        <w:trPr>
          <w:trHeight w:val="14"/>
          <w:tblCellSpacing w:w="15" w:type="dxa"/>
        </w:trPr>
        <w:tc>
          <w:tcPr>
            <w:tcW w:w="0" w:type="auto"/>
            <w:vAlign w:val="bottom"/>
            <w:hideMark/>
          </w:tcPr>
          <w:p w:rsidR="00000000" w:rsidRDefault="00A749A6">
            <w:pPr>
              <w:pStyle w:val="a3"/>
              <w:spacing w:before="0" w:beforeAutospacing="0" w:after="0" w:afterAutospacing="0"/>
              <w:rPr>
                <w:sz w:val="20"/>
                <w:szCs w:val="20"/>
              </w:rPr>
            </w:pPr>
            <w:r>
              <w:rPr>
                <w:sz w:val="20"/>
                <w:szCs w:val="20"/>
              </w:rPr>
              <w:t>August 4, 202</w:t>
            </w:r>
            <w:r>
              <w:rPr>
                <w:sz w:val="20"/>
                <w:szCs w:val="20"/>
              </w:rPr>
              <w:t>2</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By</w:t>
            </w: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tcBorders>
              <w:bottom w:val="single" w:sz="4" w:space="0" w:color="auto"/>
            </w:tcBorders>
            <w:vAlign w:val="bottom"/>
            <w:hideMark/>
          </w:tcPr>
          <w:p w:rsidR="00000000" w:rsidRDefault="00A749A6">
            <w:pPr>
              <w:pStyle w:val="a3"/>
              <w:spacing w:before="0" w:beforeAutospacing="0" w:after="0" w:afterAutospacing="0"/>
              <w:rPr>
                <w:sz w:val="20"/>
                <w:szCs w:val="20"/>
              </w:rPr>
            </w:pPr>
            <w:r>
              <w:rPr>
                <w:sz w:val="20"/>
                <w:szCs w:val="20"/>
              </w:rPr>
              <w:t>/s/ MICHAEL A. KUGLI</w:t>
            </w:r>
            <w:r>
              <w:rPr>
                <w:sz w:val="20"/>
                <w:szCs w:val="20"/>
              </w:rPr>
              <w:t>N</w:t>
            </w:r>
          </w:p>
        </w:tc>
      </w:tr>
      <w:tr w:rsidR="00000000">
        <w:trPr>
          <w:trHeight w:val="14"/>
          <w:tblCellSpacing w:w="15" w:type="dxa"/>
        </w:trPr>
        <w:tc>
          <w:tcPr>
            <w:tcW w:w="0" w:type="auto"/>
            <w:vAlign w:val="bottom"/>
            <w:hideMark/>
          </w:tcPr>
          <w:p w:rsidR="00000000" w:rsidRDefault="00A749A6">
            <w:pPr>
              <w:pStyle w:val="a3"/>
              <w:spacing w:before="0" w:beforeAutospacing="0" w:after="0" w:afterAutospacing="0"/>
              <w:rPr>
                <w:sz w:val="20"/>
                <w:szCs w:val="20"/>
              </w:rPr>
            </w:pPr>
            <w:r>
              <w:rPr>
                <w:sz w:val="20"/>
                <w:szCs w:val="20"/>
              </w:rPr>
              <w:t>Dat</w:t>
            </w:r>
            <w:r>
              <w:rPr>
                <w:sz w:val="20"/>
                <w:szCs w:val="20"/>
              </w:rPr>
              <w:t>e</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Michael A. Kugli</w:t>
            </w:r>
            <w:r>
              <w:rPr>
                <w:sz w:val="20"/>
                <w:szCs w:val="20"/>
              </w:rPr>
              <w:t>n</w:t>
            </w:r>
          </w:p>
        </w:tc>
      </w:tr>
      <w:tr w:rsidR="00000000">
        <w:trPr>
          <w:trHeight w:val="14"/>
          <w:tblCellSpacing w:w="15" w:type="dxa"/>
        </w:trPr>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Chief Financial Officer and Chief Accounting Office</w:t>
            </w:r>
            <w:r>
              <w:rPr>
                <w:sz w:val="20"/>
                <w:szCs w:val="20"/>
              </w:rPr>
              <w:t>r</w:t>
            </w:r>
          </w:p>
        </w:tc>
      </w:tr>
      <w:tr w:rsidR="00000000">
        <w:trPr>
          <w:trHeight w:val="14"/>
          <w:tblCellSpacing w:w="15" w:type="dxa"/>
        </w:trPr>
        <w:tc>
          <w:tcPr>
            <w:tcW w:w="0" w:type="auto"/>
            <w:vAlign w:val="bottom"/>
            <w:hideMark/>
          </w:tcPr>
          <w:p w:rsidR="00000000" w:rsidRDefault="00A749A6">
            <w:pPr>
              <w:pStyle w:val="a3"/>
              <w:spacing w:before="0" w:beforeAutospacing="0" w:after="0" w:afterAutospacing="0"/>
            </w:pPr>
            <w:r>
              <w:t> </w:t>
            </w:r>
          </w:p>
        </w:tc>
        <w:tc>
          <w:tcPr>
            <w:tcW w:w="0" w:type="auto"/>
            <w:vAlign w:val="bottom"/>
            <w:hideMark/>
          </w:tcPr>
          <w:p w:rsidR="00000000" w:rsidRDefault="00A749A6">
            <w:pPr>
              <w:pStyle w:val="a3"/>
              <w:spacing w:before="0" w:beforeAutospacing="0" w:after="0" w:afterAutospacing="0"/>
            </w:pPr>
            <w:r>
              <w:t> </w:t>
            </w:r>
          </w:p>
        </w:tc>
        <w:tc>
          <w:tcPr>
            <w:tcW w:w="0" w:type="auto"/>
            <w:vAlign w:val="bottom"/>
            <w:hideMark/>
          </w:tcPr>
          <w:p w:rsidR="00000000" w:rsidRDefault="00A749A6">
            <w:pPr>
              <w:pStyle w:val="a3"/>
              <w:spacing w:before="0" w:beforeAutospacing="0" w:after="0" w:afterAutospacing="0"/>
            </w:pPr>
            <w:r>
              <w:t> </w:t>
            </w:r>
          </w:p>
        </w:tc>
        <w:tc>
          <w:tcPr>
            <w:tcW w:w="0" w:type="auto"/>
            <w:vAlign w:val="bottom"/>
            <w:hideMark/>
          </w:tcPr>
          <w:p w:rsidR="00000000" w:rsidRDefault="00A749A6">
            <w:pPr>
              <w:pStyle w:val="a3"/>
              <w:spacing w:before="0" w:beforeAutospacing="0" w:after="0" w:afterAutospacing="0"/>
            </w:pPr>
            <w:r>
              <w:t> </w:t>
            </w:r>
          </w:p>
        </w:tc>
      </w:tr>
      <w:tr w:rsidR="00000000">
        <w:trPr>
          <w:trHeight w:val="14"/>
          <w:tblCellSpacing w:w="15" w:type="dxa"/>
        </w:trPr>
        <w:tc>
          <w:tcPr>
            <w:tcW w:w="0" w:type="auto"/>
            <w:vAlign w:val="bottom"/>
            <w:hideMark/>
          </w:tcPr>
          <w:p w:rsidR="00000000" w:rsidRDefault="00A749A6">
            <w:pPr>
              <w:pStyle w:val="a3"/>
              <w:spacing w:before="0" w:beforeAutospacing="0" w:after="0" w:afterAutospacing="0"/>
              <w:rPr>
                <w:sz w:val="20"/>
                <w:szCs w:val="20"/>
              </w:rPr>
            </w:pPr>
            <w:r>
              <w:rPr>
                <w:sz w:val="20"/>
                <w:szCs w:val="20"/>
              </w:rPr>
              <w:t>August 4, 202</w:t>
            </w:r>
            <w:r>
              <w:rPr>
                <w:sz w:val="20"/>
                <w:szCs w:val="20"/>
              </w:rPr>
              <w:t>2</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By</w:t>
            </w:r>
            <w:r>
              <w:rPr>
                <w:sz w:val="20"/>
                <w:szCs w:val="20"/>
              </w:rPr>
              <w:t>:</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tcBorders>
              <w:bottom w:val="single" w:sz="4" w:space="0" w:color="auto"/>
            </w:tcBorders>
            <w:vAlign w:val="bottom"/>
            <w:hideMark/>
          </w:tcPr>
          <w:p w:rsidR="00000000" w:rsidRDefault="00A749A6">
            <w:pPr>
              <w:pStyle w:val="a3"/>
              <w:spacing w:before="0" w:beforeAutospacing="0" w:after="0" w:afterAutospacing="0"/>
              <w:rPr>
                <w:sz w:val="20"/>
                <w:szCs w:val="20"/>
              </w:rPr>
            </w:pPr>
            <w:r>
              <w:rPr>
                <w:sz w:val="20"/>
                <w:szCs w:val="20"/>
              </w:rPr>
              <w:t>/s/ DANIEL S. BLOOMSTEI</w:t>
            </w:r>
            <w:r>
              <w:rPr>
                <w:sz w:val="20"/>
                <w:szCs w:val="20"/>
              </w:rPr>
              <w:t>N</w:t>
            </w:r>
          </w:p>
        </w:tc>
      </w:tr>
      <w:tr w:rsidR="00000000">
        <w:trPr>
          <w:trHeight w:val="14"/>
          <w:tblCellSpacing w:w="15" w:type="dxa"/>
        </w:trPr>
        <w:tc>
          <w:tcPr>
            <w:tcW w:w="0" w:type="auto"/>
            <w:vAlign w:val="bottom"/>
            <w:hideMark/>
          </w:tcPr>
          <w:p w:rsidR="00000000" w:rsidRDefault="00A749A6">
            <w:pPr>
              <w:pStyle w:val="a3"/>
              <w:spacing w:before="0" w:beforeAutospacing="0" w:after="0" w:afterAutospacing="0"/>
              <w:rPr>
                <w:sz w:val="20"/>
                <w:szCs w:val="20"/>
              </w:rPr>
            </w:pPr>
            <w:r>
              <w:rPr>
                <w:sz w:val="20"/>
                <w:szCs w:val="20"/>
              </w:rPr>
              <w:t>Dat</w:t>
            </w:r>
            <w:r>
              <w:rPr>
                <w:sz w:val="20"/>
                <w:szCs w:val="20"/>
              </w:rPr>
              <w:t>e</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Daniel S. Bloomstei</w:t>
            </w:r>
            <w:r>
              <w:rPr>
                <w:sz w:val="20"/>
                <w:szCs w:val="20"/>
              </w:rPr>
              <w:t>n</w:t>
            </w:r>
          </w:p>
        </w:tc>
      </w:tr>
      <w:tr w:rsidR="00000000">
        <w:trPr>
          <w:trHeight w:val="158"/>
          <w:tblCellSpacing w:w="15" w:type="dxa"/>
        </w:trPr>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 </w:t>
            </w:r>
          </w:p>
        </w:tc>
        <w:tc>
          <w:tcPr>
            <w:tcW w:w="0" w:type="auto"/>
            <w:vAlign w:val="bottom"/>
            <w:hideMark/>
          </w:tcPr>
          <w:p w:rsidR="00000000" w:rsidRDefault="00A749A6">
            <w:pPr>
              <w:pStyle w:val="a3"/>
              <w:spacing w:before="0" w:beforeAutospacing="0" w:after="0" w:afterAutospacing="0"/>
              <w:rPr>
                <w:sz w:val="20"/>
                <w:szCs w:val="20"/>
              </w:rPr>
            </w:pPr>
            <w:r>
              <w:rPr>
                <w:sz w:val="20"/>
                <w:szCs w:val="20"/>
              </w:rPr>
              <w:t>Vice President and Controlle</w:t>
            </w:r>
            <w:r>
              <w:rPr>
                <w:sz w:val="20"/>
                <w:szCs w:val="20"/>
              </w:rPr>
              <w:t>r</w:t>
            </w:r>
          </w:p>
        </w:tc>
      </w:tr>
    </w:tbl>
    <w:p w:rsidR="00000000" w:rsidRDefault="00A749A6">
      <w:pPr>
        <w:pStyle w:val="a3"/>
        <w:spacing w:before="0" w:beforeAutospacing="0" w:after="0" w:afterAutospacing="0"/>
        <w:jc w:val="both"/>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 </w:t>
      </w:r>
    </w:p>
    <w:p w:rsidR="00000000" w:rsidRDefault="00A749A6">
      <w:pPr>
        <w:pStyle w:val="a3"/>
        <w:spacing w:before="0" w:beforeAutospacing="0" w:after="0" w:afterAutospacing="0"/>
        <w:jc w:val="center"/>
        <w:rPr>
          <w:sz w:val="20"/>
          <w:szCs w:val="20"/>
        </w:rPr>
      </w:pPr>
      <w:r>
        <w:rPr>
          <w:sz w:val="20"/>
          <w:szCs w:val="20"/>
        </w:rPr>
        <w:t>3</w:t>
      </w:r>
      <w:r>
        <w:rPr>
          <w:sz w:val="20"/>
          <w:szCs w:val="20"/>
        </w:rPr>
        <w:t>9</w:t>
      </w:r>
    </w:p>
    <w:p w:rsidR="00A749A6" w:rsidRDefault="00A749A6">
      <w:pPr>
        <w:rPr>
          <w:rFonts w:eastAsia="Times New Roman"/>
        </w:rPr>
      </w:pPr>
      <w:r>
        <w:rPr>
          <w:rFonts w:eastAsia="Times New Roman"/>
        </w:rPr>
        <w:pict>
          <v:rect id="_x0000_i1067" style="width:0;height:1.5pt" o:hralign="center" o:hrstd="t" o:hr="t" fillcolor="#a0a0a0" stroked="f"/>
        </w:pict>
      </w:r>
    </w:p>
    <w:sectPr w:rsidR="00A749A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749A6"/>
    <w:rsid w:val="00A749A6"/>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xbrl.sec.gov/dei/2022"/>
  <w:attachedSchema w:val="http://fasb.org/us-gaap/2022"/>
  <w:attachedSchema w:val="http://www.xbrl.org/2003/iso4217"/>
  <w:attachedSchema w:val="http://www.xbrl.org/dtr/type/2020-01-21"/>
  <w:attachedSchema w:val="http://www.suburbanpropane.com/20220625"/>
  <w:attachedSchema w:val="http://fasb.org/srt/2022"/>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08344">
      <w:marLeft w:val="0"/>
      <w:marRight w:val="0"/>
      <w:marTop w:val="0"/>
      <w:marBottom w:val="0"/>
      <w:divBdr>
        <w:top w:val="none" w:sz="0" w:space="0" w:color="auto"/>
        <w:left w:val="none" w:sz="0" w:space="0" w:color="auto"/>
        <w:bottom w:val="none" w:sz="0" w:space="0" w:color="auto"/>
        <w:right w:val="none" w:sz="0" w:space="0" w:color="auto"/>
      </w:divBdr>
      <w:divsChild>
        <w:div w:id="549532883">
          <w:marLeft w:val="0"/>
          <w:marRight w:val="0"/>
          <w:marTop w:val="160"/>
          <w:marBottom w:val="0"/>
          <w:divBdr>
            <w:top w:val="none" w:sz="0" w:space="0" w:color="auto"/>
            <w:left w:val="none" w:sz="0" w:space="0" w:color="auto"/>
            <w:bottom w:val="none" w:sz="0" w:space="0" w:color="auto"/>
            <w:right w:val="none" w:sz="0" w:space="0" w:color="auto"/>
          </w:divBdr>
          <w:divsChild>
            <w:div w:id="1721591416">
              <w:marLeft w:val="0"/>
              <w:marRight w:val="0"/>
              <w:marTop w:val="0"/>
              <w:marBottom w:val="0"/>
              <w:divBdr>
                <w:top w:val="none" w:sz="0" w:space="0" w:color="auto"/>
                <w:left w:val="none" w:sz="0" w:space="0" w:color="auto"/>
                <w:bottom w:val="none" w:sz="0" w:space="0" w:color="auto"/>
                <w:right w:val="none" w:sz="0" w:space="0" w:color="auto"/>
              </w:divBdr>
            </w:div>
          </w:divsChild>
        </w:div>
        <w:div w:id="554513695">
          <w:marLeft w:val="0"/>
          <w:marRight w:val="0"/>
          <w:marTop w:val="0"/>
          <w:marBottom w:val="0"/>
          <w:divBdr>
            <w:top w:val="none" w:sz="0" w:space="0" w:color="auto"/>
            <w:left w:val="none" w:sz="0" w:space="0" w:color="auto"/>
            <w:bottom w:val="none" w:sz="0" w:space="0" w:color="auto"/>
            <w:right w:val="none" w:sz="0" w:space="0" w:color="auto"/>
          </w:divBdr>
        </w:div>
        <w:div w:id="1976058418">
          <w:marLeft w:val="0"/>
          <w:marRight w:val="0"/>
          <w:marTop w:val="0"/>
          <w:marBottom w:val="0"/>
          <w:divBdr>
            <w:top w:val="none" w:sz="0" w:space="0" w:color="auto"/>
            <w:left w:val="none" w:sz="0" w:space="0" w:color="auto"/>
            <w:bottom w:val="none" w:sz="0" w:space="0" w:color="auto"/>
            <w:right w:val="none" w:sz="0" w:space="0" w:color="auto"/>
          </w:divBdr>
        </w:div>
      </w:divsChild>
    </w:div>
    <w:div w:id="88161603">
      <w:marLeft w:val="0"/>
      <w:marRight w:val="0"/>
      <w:marTop w:val="120"/>
      <w:marBottom w:val="0"/>
      <w:divBdr>
        <w:top w:val="none" w:sz="0" w:space="0" w:color="auto"/>
        <w:left w:val="none" w:sz="0" w:space="0" w:color="auto"/>
        <w:bottom w:val="none" w:sz="0" w:space="0" w:color="auto"/>
        <w:right w:val="none" w:sz="0" w:space="0" w:color="auto"/>
      </w:divBdr>
      <w:divsChild>
        <w:div w:id="1315767366">
          <w:marLeft w:val="0"/>
          <w:marRight w:val="0"/>
          <w:marTop w:val="0"/>
          <w:marBottom w:val="0"/>
          <w:divBdr>
            <w:top w:val="none" w:sz="0" w:space="0" w:color="auto"/>
            <w:left w:val="none" w:sz="0" w:space="0" w:color="auto"/>
            <w:bottom w:val="none" w:sz="0" w:space="0" w:color="auto"/>
            <w:right w:val="none" w:sz="0" w:space="0" w:color="auto"/>
          </w:divBdr>
        </w:div>
      </w:divsChild>
    </w:div>
    <w:div w:id="104203409">
      <w:marLeft w:val="0"/>
      <w:marRight w:val="0"/>
      <w:marTop w:val="120"/>
      <w:marBottom w:val="0"/>
      <w:divBdr>
        <w:top w:val="none" w:sz="0" w:space="0" w:color="auto"/>
        <w:left w:val="none" w:sz="0" w:space="0" w:color="auto"/>
        <w:bottom w:val="none" w:sz="0" w:space="0" w:color="auto"/>
        <w:right w:val="none" w:sz="0" w:space="0" w:color="auto"/>
      </w:divBdr>
      <w:divsChild>
        <w:div w:id="1477067921">
          <w:marLeft w:val="0"/>
          <w:marRight w:val="0"/>
          <w:marTop w:val="0"/>
          <w:marBottom w:val="0"/>
          <w:divBdr>
            <w:top w:val="none" w:sz="0" w:space="0" w:color="auto"/>
            <w:left w:val="none" w:sz="0" w:space="0" w:color="auto"/>
            <w:bottom w:val="none" w:sz="0" w:space="0" w:color="auto"/>
            <w:right w:val="none" w:sz="0" w:space="0" w:color="auto"/>
          </w:divBdr>
        </w:div>
      </w:divsChild>
    </w:div>
    <w:div w:id="200090438">
      <w:marLeft w:val="0"/>
      <w:marRight w:val="0"/>
      <w:marTop w:val="120"/>
      <w:marBottom w:val="0"/>
      <w:divBdr>
        <w:top w:val="none" w:sz="0" w:space="0" w:color="auto"/>
        <w:left w:val="none" w:sz="0" w:space="0" w:color="auto"/>
        <w:bottom w:val="none" w:sz="0" w:space="0" w:color="auto"/>
        <w:right w:val="none" w:sz="0" w:space="0" w:color="auto"/>
      </w:divBdr>
      <w:divsChild>
        <w:div w:id="1007486987">
          <w:marLeft w:val="0"/>
          <w:marRight w:val="0"/>
          <w:marTop w:val="0"/>
          <w:marBottom w:val="0"/>
          <w:divBdr>
            <w:top w:val="none" w:sz="0" w:space="0" w:color="auto"/>
            <w:left w:val="none" w:sz="0" w:space="0" w:color="auto"/>
            <w:bottom w:val="none" w:sz="0" w:space="0" w:color="auto"/>
            <w:right w:val="none" w:sz="0" w:space="0" w:color="auto"/>
          </w:divBdr>
        </w:div>
      </w:divsChild>
    </w:div>
    <w:div w:id="265693295">
      <w:marLeft w:val="0"/>
      <w:marRight w:val="0"/>
      <w:marTop w:val="120"/>
      <w:marBottom w:val="0"/>
      <w:divBdr>
        <w:top w:val="none" w:sz="0" w:space="0" w:color="auto"/>
        <w:left w:val="none" w:sz="0" w:space="0" w:color="auto"/>
        <w:bottom w:val="none" w:sz="0" w:space="0" w:color="auto"/>
        <w:right w:val="none" w:sz="0" w:space="0" w:color="auto"/>
      </w:divBdr>
      <w:divsChild>
        <w:div w:id="1583291785">
          <w:marLeft w:val="0"/>
          <w:marRight w:val="0"/>
          <w:marTop w:val="0"/>
          <w:marBottom w:val="0"/>
          <w:divBdr>
            <w:top w:val="none" w:sz="0" w:space="0" w:color="auto"/>
            <w:left w:val="none" w:sz="0" w:space="0" w:color="auto"/>
            <w:bottom w:val="none" w:sz="0" w:space="0" w:color="auto"/>
            <w:right w:val="none" w:sz="0" w:space="0" w:color="auto"/>
          </w:divBdr>
        </w:div>
      </w:divsChild>
    </w:div>
    <w:div w:id="303583385">
      <w:marLeft w:val="0"/>
      <w:marRight w:val="0"/>
      <w:marTop w:val="120"/>
      <w:marBottom w:val="0"/>
      <w:divBdr>
        <w:top w:val="none" w:sz="0" w:space="0" w:color="auto"/>
        <w:left w:val="none" w:sz="0" w:space="0" w:color="auto"/>
        <w:bottom w:val="none" w:sz="0" w:space="0" w:color="auto"/>
        <w:right w:val="none" w:sz="0" w:space="0" w:color="auto"/>
      </w:divBdr>
      <w:divsChild>
        <w:div w:id="222328507">
          <w:marLeft w:val="0"/>
          <w:marRight w:val="0"/>
          <w:marTop w:val="0"/>
          <w:marBottom w:val="0"/>
          <w:divBdr>
            <w:top w:val="none" w:sz="0" w:space="0" w:color="auto"/>
            <w:left w:val="none" w:sz="0" w:space="0" w:color="auto"/>
            <w:bottom w:val="none" w:sz="0" w:space="0" w:color="auto"/>
            <w:right w:val="none" w:sz="0" w:space="0" w:color="auto"/>
          </w:divBdr>
        </w:div>
      </w:divsChild>
    </w:div>
    <w:div w:id="331446364">
      <w:marLeft w:val="0"/>
      <w:marRight w:val="0"/>
      <w:marTop w:val="0"/>
      <w:marBottom w:val="0"/>
      <w:divBdr>
        <w:top w:val="none" w:sz="0" w:space="0" w:color="auto"/>
        <w:left w:val="none" w:sz="0" w:space="0" w:color="auto"/>
        <w:bottom w:val="none" w:sz="0" w:space="0" w:color="auto"/>
        <w:right w:val="none" w:sz="0" w:space="0" w:color="auto"/>
      </w:divBdr>
      <w:divsChild>
        <w:div w:id="2086492353">
          <w:marLeft w:val="0"/>
          <w:marRight w:val="0"/>
          <w:marTop w:val="160"/>
          <w:marBottom w:val="0"/>
          <w:divBdr>
            <w:top w:val="none" w:sz="0" w:space="0" w:color="auto"/>
            <w:left w:val="none" w:sz="0" w:space="0" w:color="auto"/>
            <w:bottom w:val="none" w:sz="0" w:space="0" w:color="auto"/>
            <w:right w:val="none" w:sz="0" w:space="0" w:color="auto"/>
          </w:divBdr>
          <w:divsChild>
            <w:div w:id="9428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6269">
      <w:marLeft w:val="0"/>
      <w:marRight w:val="0"/>
      <w:marTop w:val="120"/>
      <w:marBottom w:val="0"/>
      <w:divBdr>
        <w:top w:val="none" w:sz="0" w:space="0" w:color="auto"/>
        <w:left w:val="none" w:sz="0" w:space="0" w:color="auto"/>
        <w:bottom w:val="none" w:sz="0" w:space="0" w:color="auto"/>
        <w:right w:val="none" w:sz="0" w:space="0" w:color="auto"/>
      </w:divBdr>
      <w:divsChild>
        <w:div w:id="1760249251">
          <w:marLeft w:val="0"/>
          <w:marRight w:val="0"/>
          <w:marTop w:val="0"/>
          <w:marBottom w:val="0"/>
          <w:divBdr>
            <w:top w:val="none" w:sz="0" w:space="0" w:color="auto"/>
            <w:left w:val="none" w:sz="0" w:space="0" w:color="auto"/>
            <w:bottom w:val="none" w:sz="0" w:space="0" w:color="auto"/>
            <w:right w:val="none" w:sz="0" w:space="0" w:color="auto"/>
          </w:divBdr>
        </w:div>
      </w:divsChild>
    </w:div>
    <w:div w:id="474832796">
      <w:marLeft w:val="4"/>
      <w:marRight w:val="0"/>
      <w:marTop w:val="120"/>
      <w:marBottom w:val="0"/>
      <w:divBdr>
        <w:top w:val="none" w:sz="0" w:space="0" w:color="auto"/>
        <w:left w:val="none" w:sz="0" w:space="0" w:color="auto"/>
        <w:bottom w:val="none" w:sz="0" w:space="0" w:color="auto"/>
        <w:right w:val="none" w:sz="0" w:space="0" w:color="auto"/>
      </w:divBdr>
      <w:divsChild>
        <w:div w:id="1568495289">
          <w:marLeft w:val="0"/>
          <w:marRight w:val="0"/>
          <w:marTop w:val="0"/>
          <w:marBottom w:val="0"/>
          <w:divBdr>
            <w:top w:val="none" w:sz="0" w:space="0" w:color="auto"/>
            <w:left w:val="none" w:sz="0" w:space="0" w:color="auto"/>
            <w:bottom w:val="none" w:sz="0" w:space="0" w:color="auto"/>
            <w:right w:val="none" w:sz="0" w:space="0" w:color="auto"/>
          </w:divBdr>
        </w:div>
      </w:divsChild>
    </w:div>
    <w:div w:id="554588256">
      <w:marLeft w:val="0"/>
      <w:marRight w:val="0"/>
      <w:marTop w:val="120"/>
      <w:marBottom w:val="0"/>
      <w:divBdr>
        <w:top w:val="none" w:sz="0" w:space="0" w:color="auto"/>
        <w:left w:val="none" w:sz="0" w:space="0" w:color="auto"/>
        <w:bottom w:val="none" w:sz="0" w:space="0" w:color="auto"/>
        <w:right w:val="none" w:sz="0" w:space="0" w:color="auto"/>
      </w:divBdr>
      <w:divsChild>
        <w:div w:id="734468509">
          <w:marLeft w:val="0"/>
          <w:marRight w:val="0"/>
          <w:marTop w:val="0"/>
          <w:marBottom w:val="0"/>
          <w:divBdr>
            <w:top w:val="none" w:sz="0" w:space="0" w:color="auto"/>
            <w:left w:val="none" w:sz="0" w:space="0" w:color="auto"/>
            <w:bottom w:val="none" w:sz="0" w:space="0" w:color="auto"/>
            <w:right w:val="none" w:sz="0" w:space="0" w:color="auto"/>
          </w:divBdr>
        </w:div>
      </w:divsChild>
    </w:div>
    <w:div w:id="603928883">
      <w:marLeft w:val="0"/>
      <w:marRight w:val="0"/>
      <w:marTop w:val="120"/>
      <w:marBottom w:val="0"/>
      <w:divBdr>
        <w:top w:val="none" w:sz="0" w:space="0" w:color="auto"/>
        <w:left w:val="none" w:sz="0" w:space="0" w:color="auto"/>
        <w:bottom w:val="none" w:sz="0" w:space="0" w:color="auto"/>
        <w:right w:val="none" w:sz="0" w:space="0" w:color="auto"/>
      </w:divBdr>
      <w:divsChild>
        <w:div w:id="1255288012">
          <w:marLeft w:val="0"/>
          <w:marRight w:val="0"/>
          <w:marTop w:val="0"/>
          <w:marBottom w:val="0"/>
          <w:divBdr>
            <w:top w:val="none" w:sz="0" w:space="0" w:color="auto"/>
            <w:left w:val="none" w:sz="0" w:space="0" w:color="auto"/>
            <w:bottom w:val="none" w:sz="0" w:space="0" w:color="auto"/>
            <w:right w:val="none" w:sz="0" w:space="0" w:color="auto"/>
          </w:divBdr>
        </w:div>
      </w:divsChild>
    </w:div>
    <w:div w:id="677779703">
      <w:marLeft w:val="0"/>
      <w:marRight w:val="0"/>
      <w:marTop w:val="120"/>
      <w:marBottom w:val="0"/>
      <w:divBdr>
        <w:top w:val="none" w:sz="0" w:space="0" w:color="auto"/>
        <w:left w:val="none" w:sz="0" w:space="0" w:color="auto"/>
        <w:bottom w:val="none" w:sz="0" w:space="0" w:color="auto"/>
        <w:right w:val="none" w:sz="0" w:space="0" w:color="auto"/>
      </w:divBdr>
      <w:divsChild>
        <w:div w:id="2114275137">
          <w:marLeft w:val="0"/>
          <w:marRight w:val="0"/>
          <w:marTop w:val="0"/>
          <w:marBottom w:val="0"/>
          <w:divBdr>
            <w:top w:val="none" w:sz="0" w:space="0" w:color="auto"/>
            <w:left w:val="none" w:sz="0" w:space="0" w:color="auto"/>
            <w:bottom w:val="none" w:sz="0" w:space="0" w:color="auto"/>
            <w:right w:val="none" w:sz="0" w:space="0" w:color="auto"/>
          </w:divBdr>
        </w:div>
      </w:divsChild>
    </w:div>
    <w:div w:id="757099238">
      <w:marLeft w:val="0"/>
      <w:marRight w:val="0"/>
      <w:marTop w:val="0"/>
      <w:marBottom w:val="0"/>
      <w:divBdr>
        <w:top w:val="none" w:sz="0" w:space="0" w:color="auto"/>
        <w:left w:val="none" w:sz="0" w:space="0" w:color="auto"/>
        <w:bottom w:val="none" w:sz="0" w:space="0" w:color="auto"/>
        <w:right w:val="none" w:sz="0" w:space="0" w:color="auto"/>
      </w:divBdr>
      <w:divsChild>
        <w:div w:id="445153130">
          <w:marLeft w:val="0"/>
          <w:marRight w:val="0"/>
          <w:marTop w:val="160"/>
          <w:marBottom w:val="0"/>
          <w:divBdr>
            <w:top w:val="none" w:sz="0" w:space="0" w:color="auto"/>
            <w:left w:val="none" w:sz="0" w:space="0" w:color="auto"/>
            <w:bottom w:val="none" w:sz="0" w:space="0" w:color="auto"/>
            <w:right w:val="none" w:sz="0" w:space="0" w:color="auto"/>
          </w:divBdr>
          <w:divsChild>
            <w:div w:id="10846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0376">
      <w:marLeft w:val="0"/>
      <w:marRight w:val="0"/>
      <w:marTop w:val="0"/>
      <w:marBottom w:val="0"/>
      <w:divBdr>
        <w:top w:val="none" w:sz="0" w:space="0" w:color="auto"/>
        <w:left w:val="none" w:sz="0" w:space="0" w:color="auto"/>
        <w:bottom w:val="none" w:sz="0" w:space="0" w:color="auto"/>
        <w:right w:val="none" w:sz="0" w:space="0" w:color="auto"/>
      </w:divBdr>
      <w:divsChild>
        <w:div w:id="327833544">
          <w:marLeft w:val="0"/>
          <w:marRight w:val="0"/>
          <w:marTop w:val="160"/>
          <w:marBottom w:val="0"/>
          <w:divBdr>
            <w:top w:val="none" w:sz="0" w:space="0" w:color="auto"/>
            <w:left w:val="none" w:sz="0" w:space="0" w:color="auto"/>
            <w:bottom w:val="none" w:sz="0" w:space="0" w:color="auto"/>
            <w:right w:val="none" w:sz="0" w:space="0" w:color="auto"/>
          </w:divBdr>
          <w:divsChild>
            <w:div w:id="769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4489">
      <w:marLeft w:val="0"/>
      <w:marRight w:val="0"/>
      <w:marTop w:val="0"/>
      <w:marBottom w:val="0"/>
      <w:divBdr>
        <w:top w:val="none" w:sz="0" w:space="0" w:color="auto"/>
        <w:left w:val="none" w:sz="0" w:space="0" w:color="auto"/>
        <w:bottom w:val="none" w:sz="0" w:space="0" w:color="auto"/>
        <w:right w:val="none" w:sz="0" w:space="0" w:color="auto"/>
      </w:divBdr>
      <w:divsChild>
        <w:div w:id="696778848">
          <w:marLeft w:val="0"/>
          <w:marRight w:val="0"/>
          <w:marTop w:val="160"/>
          <w:marBottom w:val="0"/>
          <w:divBdr>
            <w:top w:val="none" w:sz="0" w:space="0" w:color="auto"/>
            <w:left w:val="none" w:sz="0" w:space="0" w:color="auto"/>
            <w:bottom w:val="none" w:sz="0" w:space="0" w:color="auto"/>
            <w:right w:val="none" w:sz="0" w:space="0" w:color="auto"/>
          </w:divBdr>
          <w:divsChild>
            <w:div w:id="1530680333">
              <w:marLeft w:val="0"/>
              <w:marRight w:val="0"/>
              <w:marTop w:val="0"/>
              <w:marBottom w:val="0"/>
              <w:divBdr>
                <w:top w:val="none" w:sz="0" w:space="0" w:color="auto"/>
                <w:left w:val="none" w:sz="0" w:space="0" w:color="auto"/>
                <w:bottom w:val="none" w:sz="0" w:space="0" w:color="auto"/>
                <w:right w:val="none" w:sz="0" w:space="0" w:color="auto"/>
              </w:divBdr>
            </w:div>
          </w:divsChild>
        </w:div>
        <w:div w:id="1018779325">
          <w:marLeft w:val="0"/>
          <w:marRight w:val="0"/>
          <w:marTop w:val="0"/>
          <w:marBottom w:val="0"/>
          <w:divBdr>
            <w:top w:val="none" w:sz="0" w:space="0" w:color="auto"/>
            <w:left w:val="none" w:sz="0" w:space="0" w:color="auto"/>
            <w:bottom w:val="none" w:sz="0" w:space="0" w:color="auto"/>
            <w:right w:val="none" w:sz="0" w:space="0" w:color="auto"/>
          </w:divBdr>
        </w:div>
      </w:divsChild>
    </w:div>
    <w:div w:id="891621803">
      <w:marLeft w:val="0"/>
      <w:marRight w:val="0"/>
      <w:marTop w:val="120"/>
      <w:marBottom w:val="0"/>
      <w:divBdr>
        <w:top w:val="none" w:sz="0" w:space="0" w:color="auto"/>
        <w:left w:val="none" w:sz="0" w:space="0" w:color="auto"/>
        <w:bottom w:val="none" w:sz="0" w:space="0" w:color="auto"/>
        <w:right w:val="none" w:sz="0" w:space="0" w:color="auto"/>
      </w:divBdr>
      <w:divsChild>
        <w:div w:id="132718622">
          <w:marLeft w:val="0"/>
          <w:marRight w:val="0"/>
          <w:marTop w:val="0"/>
          <w:marBottom w:val="0"/>
          <w:divBdr>
            <w:top w:val="none" w:sz="0" w:space="0" w:color="auto"/>
            <w:left w:val="none" w:sz="0" w:space="0" w:color="auto"/>
            <w:bottom w:val="none" w:sz="0" w:space="0" w:color="auto"/>
            <w:right w:val="none" w:sz="0" w:space="0" w:color="auto"/>
          </w:divBdr>
        </w:div>
      </w:divsChild>
    </w:div>
    <w:div w:id="908734696">
      <w:marLeft w:val="0"/>
      <w:marRight w:val="0"/>
      <w:marTop w:val="0"/>
      <w:marBottom w:val="0"/>
      <w:divBdr>
        <w:top w:val="none" w:sz="0" w:space="0" w:color="auto"/>
        <w:left w:val="none" w:sz="0" w:space="0" w:color="auto"/>
        <w:bottom w:val="none" w:sz="0" w:space="0" w:color="auto"/>
        <w:right w:val="none" w:sz="0" w:space="0" w:color="auto"/>
      </w:divBdr>
      <w:divsChild>
        <w:div w:id="647978215">
          <w:marLeft w:val="0"/>
          <w:marRight w:val="0"/>
          <w:marTop w:val="0"/>
          <w:marBottom w:val="0"/>
          <w:divBdr>
            <w:top w:val="none" w:sz="0" w:space="0" w:color="auto"/>
            <w:left w:val="none" w:sz="0" w:space="0" w:color="auto"/>
            <w:bottom w:val="none" w:sz="0" w:space="0" w:color="auto"/>
            <w:right w:val="none" w:sz="0" w:space="0" w:color="auto"/>
          </w:divBdr>
        </w:div>
      </w:divsChild>
    </w:div>
    <w:div w:id="972365931">
      <w:marLeft w:val="0"/>
      <w:marRight w:val="0"/>
      <w:marTop w:val="120"/>
      <w:marBottom w:val="0"/>
      <w:divBdr>
        <w:top w:val="none" w:sz="0" w:space="0" w:color="auto"/>
        <w:left w:val="none" w:sz="0" w:space="0" w:color="auto"/>
        <w:bottom w:val="none" w:sz="0" w:space="0" w:color="auto"/>
        <w:right w:val="none" w:sz="0" w:space="0" w:color="auto"/>
      </w:divBdr>
      <w:divsChild>
        <w:div w:id="1799643735">
          <w:marLeft w:val="0"/>
          <w:marRight w:val="0"/>
          <w:marTop w:val="0"/>
          <w:marBottom w:val="0"/>
          <w:divBdr>
            <w:top w:val="none" w:sz="0" w:space="0" w:color="auto"/>
            <w:left w:val="none" w:sz="0" w:space="0" w:color="auto"/>
            <w:bottom w:val="none" w:sz="0" w:space="0" w:color="auto"/>
            <w:right w:val="none" w:sz="0" w:space="0" w:color="auto"/>
          </w:divBdr>
        </w:div>
      </w:divsChild>
    </w:div>
    <w:div w:id="986515634">
      <w:marLeft w:val="0"/>
      <w:marRight w:val="0"/>
      <w:marTop w:val="120"/>
      <w:marBottom w:val="0"/>
      <w:divBdr>
        <w:top w:val="none" w:sz="0" w:space="0" w:color="auto"/>
        <w:left w:val="none" w:sz="0" w:space="0" w:color="auto"/>
        <w:bottom w:val="none" w:sz="0" w:space="0" w:color="auto"/>
        <w:right w:val="none" w:sz="0" w:space="0" w:color="auto"/>
      </w:divBdr>
      <w:divsChild>
        <w:div w:id="291249365">
          <w:marLeft w:val="0"/>
          <w:marRight w:val="0"/>
          <w:marTop w:val="0"/>
          <w:marBottom w:val="0"/>
          <w:divBdr>
            <w:top w:val="none" w:sz="0" w:space="0" w:color="auto"/>
            <w:left w:val="none" w:sz="0" w:space="0" w:color="auto"/>
            <w:bottom w:val="none" w:sz="0" w:space="0" w:color="auto"/>
            <w:right w:val="none" w:sz="0" w:space="0" w:color="auto"/>
          </w:divBdr>
        </w:div>
      </w:divsChild>
    </w:div>
    <w:div w:id="999621038">
      <w:marLeft w:val="0"/>
      <w:marRight w:val="0"/>
      <w:marTop w:val="0"/>
      <w:marBottom w:val="0"/>
      <w:divBdr>
        <w:top w:val="none" w:sz="0" w:space="0" w:color="auto"/>
        <w:left w:val="none" w:sz="0" w:space="0" w:color="auto"/>
        <w:bottom w:val="none" w:sz="0" w:space="0" w:color="auto"/>
        <w:right w:val="none" w:sz="0" w:space="0" w:color="auto"/>
      </w:divBdr>
      <w:divsChild>
        <w:div w:id="1171487254">
          <w:marLeft w:val="0"/>
          <w:marRight w:val="0"/>
          <w:marTop w:val="160"/>
          <w:marBottom w:val="0"/>
          <w:divBdr>
            <w:top w:val="none" w:sz="0" w:space="0" w:color="auto"/>
            <w:left w:val="none" w:sz="0" w:space="0" w:color="auto"/>
            <w:bottom w:val="none" w:sz="0" w:space="0" w:color="auto"/>
            <w:right w:val="none" w:sz="0" w:space="0" w:color="auto"/>
          </w:divBdr>
          <w:divsChild>
            <w:div w:id="7199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7280">
      <w:marLeft w:val="0"/>
      <w:marRight w:val="0"/>
      <w:marTop w:val="0"/>
      <w:marBottom w:val="0"/>
      <w:divBdr>
        <w:top w:val="none" w:sz="0" w:space="0" w:color="auto"/>
        <w:left w:val="none" w:sz="0" w:space="0" w:color="auto"/>
        <w:bottom w:val="none" w:sz="0" w:space="0" w:color="auto"/>
        <w:right w:val="none" w:sz="0" w:space="0" w:color="auto"/>
      </w:divBdr>
      <w:divsChild>
        <w:div w:id="837814966">
          <w:marLeft w:val="0"/>
          <w:marRight w:val="0"/>
          <w:marTop w:val="160"/>
          <w:marBottom w:val="0"/>
          <w:divBdr>
            <w:top w:val="none" w:sz="0" w:space="0" w:color="auto"/>
            <w:left w:val="none" w:sz="0" w:space="0" w:color="auto"/>
            <w:bottom w:val="none" w:sz="0" w:space="0" w:color="auto"/>
            <w:right w:val="none" w:sz="0" w:space="0" w:color="auto"/>
          </w:divBdr>
          <w:divsChild>
            <w:div w:id="732696181">
              <w:marLeft w:val="0"/>
              <w:marRight w:val="0"/>
              <w:marTop w:val="0"/>
              <w:marBottom w:val="0"/>
              <w:divBdr>
                <w:top w:val="none" w:sz="0" w:space="0" w:color="auto"/>
                <w:left w:val="none" w:sz="0" w:space="0" w:color="auto"/>
                <w:bottom w:val="none" w:sz="0" w:space="0" w:color="auto"/>
                <w:right w:val="none" w:sz="0" w:space="0" w:color="auto"/>
              </w:divBdr>
            </w:div>
          </w:divsChild>
        </w:div>
        <w:div w:id="1490486876">
          <w:marLeft w:val="0"/>
          <w:marRight w:val="0"/>
          <w:marTop w:val="0"/>
          <w:marBottom w:val="0"/>
          <w:divBdr>
            <w:top w:val="none" w:sz="0" w:space="0" w:color="auto"/>
            <w:left w:val="none" w:sz="0" w:space="0" w:color="auto"/>
            <w:bottom w:val="none" w:sz="0" w:space="0" w:color="auto"/>
            <w:right w:val="none" w:sz="0" w:space="0" w:color="auto"/>
          </w:divBdr>
        </w:div>
        <w:div w:id="1619991715">
          <w:marLeft w:val="0"/>
          <w:marRight w:val="0"/>
          <w:marTop w:val="0"/>
          <w:marBottom w:val="0"/>
          <w:divBdr>
            <w:top w:val="none" w:sz="0" w:space="0" w:color="auto"/>
            <w:left w:val="none" w:sz="0" w:space="0" w:color="auto"/>
            <w:bottom w:val="none" w:sz="0" w:space="0" w:color="auto"/>
            <w:right w:val="none" w:sz="0" w:space="0" w:color="auto"/>
          </w:divBdr>
          <w:divsChild>
            <w:div w:id="1357001711">
              <w:marLeft w:val="0"/>
              <w:marRight w:val="0"/>
              <w:marTop w:val="180"/>
              <w:marBottom w:val="0"/>
              <w:divBdr>
                <w:top w:val="none" w:sz="0" w:space="0" w:color="auto"/>
                <w:left w:val="none" w:sz="0" w:space="0" w:color="auto"/>
                <w:bottom w:val="none" w:sz="0" w:space="0" w:color="auto"/>
                <w:right w:val="none" w:sz="0" w:space="0" w:color="auto"/>
              </w:divBdr>
              <w:divsChild>
                <w:div w:id="1179394052">
                  <w:marLeft w:val="0"/>
                  <w:marRight w:val="0"/>
                  <w:marTop w:val="0"/>
                  <w:marBottom w:val="0"/>
                  <w:divBdr>
                    <w:top w:val="none" w:sz="0" w:space="0" w:color="auto"/>
                    <w:left w:val="none" w:sz="0" w:space="0" w:color="auto"/>
                    <w:bottom w:val="none" w:sz="0" w:space="0" w:color="auto"/>
                    <w:right w:val="none" w:sz="0" w:space="0" w:color="auto"/>
                  </w:divBdr>
                </w:div>
              </w:divsChild>
            </w:div>
            <w:div w:id="308292900">
              <w:marLeft w:val="0"/>
              <w:marRight w:val="0"/>
              <w:marTop w:val="180"/>
              <w:marBottom w:val="0"/>
              <w:divBdr>
                <w:top w:val="none" w:sz="0" w:space="0" w:color="auto"/>
                <w:left w:val="none" w:sz="0" w:space="0" w:color="auto"/>
                <w:bottom w:val="none" w:sz="0" w:space="0" w:color="auto"/>
                <w:right w:val="none" w:sz="0" w:space="0" w:color="auto"/>
              </w:divBdr>
              <w:divsChild>
                <w:div w:id="21271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64627">
      <w:marLeft w:val="0"/>
      <w:marRight w:val="0"/>
      <w:marTop w:val="0"/>
      <w:marBottom w:val="0"/>
      <w:divBdr>
        <w:top w:val="none" w:sz="0" w:space="0" w:color="auto"/>
        <w:left w:val="none" w:sz="0" w:space="0" w:color="auto"/>
        <w:bottom w:val="none" w:sz="0" w:space="0" w:color="auto"/>
        <w:right w:val="none" w:sz="0" w:space="0" w:color="auto"/>
      </w:divBdr>
    </w:div>
    <w:div w:id="1024818927">
      <w:marLeft w:val="0"/>
      <w:marRight w:val="0"/>
      <w:marTop w:val="0"/>
      <w:marBottom w:val="0"/>
      <w:divBdr>
        <w:top w:val="none" w:sz="0" w:space="0" w:color="auto"/>
        <w:left w:val="none" w:sz="0" w:space="0" w:color="auto"/>
        <w:bottom w:val="none" w:sz="0" w:space="0" w:color="auto"/>
        <w:right w:val="none" w:sz="0" w:space="0" w:color="auto"/>
      </w:divBdr>
      <w:divsChild>
        <w:div w:id="176388766">
          <w:marLeft w:val="0"/>
          <w:marRight w:val="0"/>
          <w:marTop w:val="160"/>
          <w:marBottom w:val="0"/>
          <w:divBdr>
            <w:top w:val="none" w:sz="0" w:space="0" w:color="auto"/>
            <w:left w:val="none" w:sz="0" w:space="0" w:color="auto"/>
            <w:bottom w:val="none" w:sz="0" w:space="0" w:color="auto"/>
            <w:right w:val="none" w:sz="0" w:space="0" w:color="auto"/>
          </w:divBdr>
          <w:divsChild>
            <w:div w:id="2010593774">
              <w:marLeft w:val="0"/>
              <w:marRight w:val="0"/>
              <w:marTop w:val="0"/>
              <w:marBottom w:val="0"/>
              <w:divBdr>
                <w:top w:val="none" w:sz="0" w:space="0" w:color="auto"/>
                <w:left w:val="none" w:sz="0" w:space="0" w:color="auto"/>
                <w:bottom w:val="none" w:sz="0" w:space="0" w:color="auto"/>
                <w:right w:val="none" w:sz="0" w:space="0" w:color="auto"/>
              </w:divBdr>
            </w:div>
          </w:divsChild>
        </w:div>
        <w:div w:id="963269429">
          <w:marLeft w:val="0"/>
          <w:marRight w:val="0"/>
          <w:marTop w:val="0"/>
          <w:marBottom w:val="0"/>
          <w:divBdr>
            <w:top w:val="none" w:sz="0" w:space="0" w:color="auto"/>
            <w:left w:val="none" w:sz="0" w:space="0" w:color="auto"/>
            <w:bottom w:val="none" w:sz="0" w:space="0" w:color="auto"/>
            <w:right w:val="none" w:sz="0" w:space="0" w:color="auto"/>
          </w:divBdr>
        </w:div>
      </w:divsChild>
    </w:div>
    <w:div w:id="1027290905">
      <w:marLeft w:val="0"/>
      <w:marRight w:val="0"/>
      <w:marTop w:val="0"/>
      <w:marBottom w:val="0"/>
      <w:divBdr>
        <w:top w:val="none" w:sz="0" w:space="0" w:color="auto"/>
        <w:left w:val="none" w:sz="0" w:space="0" w:color="auto"/>
        <w:bottom w:val="none" w:sz="0" w:space="0" w:color="auto"/>
        <w:right w:val="none" w:sz="0" w:space="0" w:color="auto"/>
      </w:divBdr>
      <w:divsChild>
        <w:div w:id="1156068627">
          <w:marLeft w:val="0"/>
          <w:marRight w:val="0"/>
          <w:marTop w:val="160"/>
          <w:marBottom w:val="0"/>
          <w:divBdr>
            <w:top w:val="none" w:sz="0" w:space="0" w:color="auto"/>
            <w:left w:val="none" w:sz="0" w:space="0" w:color="auto"/>
            <w:bottom w:val="none" w:sz="0" w:space="0" w:color="auto"/>
            <w:right w:val="none" w:sz="0" w:space="0" w:color="auto"/>
          </w:divBdr>
          <w:divsChild>
            <w:div w:id="275915633">
              <w:marLeft w:val="0"/>
              <w:marRight w:val="0"/>
              <w:marTop w:val="0"/>
              <w:marBottom w:val="0"/>
              <w:divBdr>
                <w:top w:val="none" w:sz="0" w:space="0" w:color="auto"/>
                <w:left w:val="none" w:sz="0" w:space="0" w:color="auto"/>
                <w:bottom w:val="none" w:sz="0" w:space="0" w:color="auto"/>
                <w:right w:val="none" w:sz="0" w:space="0" w:color="auto"/>
              </w:divBdr>
            </w:div>
          </w:divsChild>
        </w:div>
        <w:div w:id="843858083">
          <w:marLeft w:val="0"/>
          <w:marRight w:val="0"/>
          <w:marTop w:val="0"/>
          <w:marBottom w:val="0"/>
          <w:divBdr>
            <w:top w:val="none" w:sz="0" w:space="0" w:color="auto"/>
            <w:left w:val="none" w:sz="0" w:space="0" w:color="auto"/>
            <w:bottom w:val="none" w:sz="0" w:space="0" w:color="auto"/>
            <w:right w:val="none" w:sz="0" w:space="0" w:color="auto"/>
          </w:divBdr>
        </w:div>
        <w:div w:id="1061948160">
          <w:marLeft w:val="0"/>
          <w:marRight w:val="0"/>
          <w:marTop w:val="0"/>
          <w:marBottom w:val="0"/>
          <w:divBdr>
            <w:top w:val="none" w:sz="0" w:space="0" w:color="auto"/>
            <w:left w:val="none" w:sz="0" w:space="0" w:color="auto"/>
            <w:bottom w:val="none" w:sz="0" w:space="0" w:color="auto"/>
            <w:right w:val="none" w:sz="0" w:space="0" w:color="auto"/>
          </w:divBdr>
        </w:div>
        <w:div w:id="1739404810">
          <w:marLeft w:val="0"/>
          <w:marRight w:val="0"/>
          <w:marTop w:val="0"/>
          <w:marBottom w:val="0"/>
          <w:divBdr>
            <w:top w:val="none" w:sz="0" w:space="0" w:color="auto"/>
            <w:left w:val="none" w:sz="0" w:space="0" w:color="auto"/>
            <w:bottom w:val="none" w:sz="0" w:space="0" w:color="auto"/>
            <w:right w:val="none" w:sz="0" w:space="0" w:color="auto"/>
          </w:divBdr>
        </w:div>
        <w:div w:id="1328824619">
          <w:marLeft w:val="0"/>
          <w:marRight w:val="0"/>
          <w:marTop w:val="0"/>
          <w:marBottom w:val="0"/>
          <w:divBdr>
            <w:top w:val="none" w:sz="0" w:space="0" w:color="auto"/>
            <w:left w:val="none" w:sz="0" w:space="0" w:color="auto"/>
            <w:bottom w:val="none" w:sz="0" w:space="0" w:color="auto"/>
            <w:right w:val="none" w:sz="0" w:space="0" w:color="auto"/>
          </w:divBdr>
        </w:div>
        <w:div w:id="680668939">
          <w:marLeft w:val="0"/>
          <w:marRight w:val="0"/>
          <w:marTop w:val="0"/>
          <w:marBottom w:val="0"/>
          <w:divBdr>
            <w:top w:val="none" w:sz="0" w:space="0" w:color="auto"/>
            <w:left w:val="none" w:sz="0" w:space="0" w:color="auto"/>
            <w:bottom w:val="none" w:sz="0" w:space="0" w:color="auto"/>
            <w:right w:val="none" w:sz="0" w:space="0" w:color="auto"/>
          </w:divBdr>
        </w:div>
      </w:divsChild>
    </w:div>
    <w:div w:id="1071850192">
      <w:marLeft w:val="0"/>
      <w:marRight w:val="0"/>
      <w:marTop w:val="0"/>
      <w:marBottom w:val="0"/>
      <w:divBdr>
        <w:top w:val="none" w:sz="0" w:space="0" w:color="auto"/>
        <w:left w:val="none" w:sz="0" w:space="0" w:color="auto"/>
        <w:bottom w:val="none" w:sz="0" w:space="0" w:color="auto"/>
        <w:right w:val="none" w:sz="0" w:space="0" w:color="auto"/>
      </w:divBdr>
    </w:div>
    <w:div w:id="1119565476">
      <w:marLeft w:val="0"/>
      <w:marRight w:val="0"/>
      <w:marTop w:val="120"/>
      <w:marBottom w:val="0"/>
      <w:divBdr>
        <w:top w:val="none" w:sz="0" w:space="0" w:color="auto"/>
        <w:left w:val="none" w:sz="0" w:space="0" w:color="auto"/>
        <w:bottom w:val="none" w:sz="0" w:space="0" w:color="auto"/>
        <w:right w:val="none" w:sz="0" w:space="0" w:color="auto"/>
      </w:divBdr>
      <w:divsChild>
        <w:div w:id="602806479">
          <w:marLeft w:val="0"/>
          <w:marRight w:val="0"/>
          <w:marTop w:val="0"/>
          <w:marBottom w:val="0"/>
          <w:divBdr>
            <w:top w:val="none" w:sz="0" w:space="0" w:color="auto"/>
            <w:left w:val="none" w:sz="0" w:space="0" w:color="auto"/>
            <w:bottom w:val="none" w:sz="0" w:space="0" w:color="auto"/>
            <w:right w:val="none" w:sz="0" w:space="0" w:color="auto"/>
          </w:divBdr>
        </w:div>
      </w:divsChild>
    </w:div>
    <w:div w:id="1146239929">
      <w:marLeft w:val="0"/>
      <w:marRight w:val="0"/>
      <w:marTop w:val="120"/>
      <w:marBottom w:val="0"/>
      <w:divBdr>
        <w:top w:val="none" w:sz="0" w:space="0" w:color="auto"/>
        <w:left w:val="none" w:sz="0" w:space="0" w:color="auto"/>
        <w:bottom w:val="none" w:sz="0" w:space="0" w:color="auto"/>
        <w:right w:val="none" w:sz="0" w:space="0" w:color="auto"/>
      </w:divBdr>
      <w:divsChild>
        <w:div w:id="601180293">
          <w:marLeft w:val="0"/>
          <w:marRight w:val="0"/>
          <w:marTop w:val="0"/>
          <w:marBottom w:val="0"/>
          <w:divBdr>
            <w:top w:val="none" w:sz="0" w:space="0" w:color="auto"/>
            <w:left w:val="none" w:sz="0" w:space="0" w:color="auto"/>
            <w:bottom w:val="none" w:sz="0" w:space="0" w:color="auto"/>
            <w:right w:val="none" w:sz="0" w:space="0" w:color="auto"/>
          </w:divBdr>
        </w:div>
      </w:divsChild>
    </w:div>
    <w:div w:id="1235818269">
      <w:marLeft w:val="0"/>
      <w:marRight w:val="0"/>
      <w:marTop w:val="120"/>
      <w:marBottom w:val="0"/>
      <w:divBdr>
        <w:top w:val="none" w:sz="0" w:space="0" w:color="auto"/>
        <w:left w:val="none" w:sz="0" w:space="0" w:color="auto"/>
        <w:bottom w:val="none" w:sz="0" w:space="0" w:color="auto"/>
        <w:right w:val="none" w:sz="0" w:space="0" w:color="auto"/>
      </w:divBdr>
      <w:divsChild>
        <w:div w:id="1947148956">
          <w:marLeft w:val="0"/>
          <w:marRight w:val="0"/>
          <w:marTop w:val="0"/>
          <w:marBottom w:val="0"/>
          <w:divBdr>
            <w:top w:val="none" w:sz="0" w:space="0" w:color="auto"/>
            <w:left w:val="none" w:sz="0" w:space="0" w:color="auto"/>
            <w:bottom w:val="none" w:sz="0" w:space="0" w:color="auto"/>
            <w:right w:val="none" w:sz="0" w:space="0" w:color="auto"/>
          </w:divBdr>
        </w:div>
      </w:divsChild>
    </w:div>
    <w:div w:id="1240015947">
      <w:marLeft w:val="4"/>
      <w:marRight w:val="0"/>
      <w:marTop w:val="120"/>
      <w:marBottom w:val="0"/>
      <w:divBdr>
        <w:top w:val="none" w:sz="0" w:space="0" w:color="auto"/>
        <w:left w:val="none" w:sz="0" w:space="0" w:color="auto"/>
        <w:bottom w:val="none" w:sz="0" w:space="0" w:color="auto"/>
        <w:right w:val="none" w:sz="0" w:space="0" w:color="auto"/>
      </w:divBdr>
      <w:divsChild>
        <w:div w:id="250550913">
          <w:marLeft w:val="0"/>
          <w:marRight w:val="0"/>
          <w:marTop w:val="0"/>
          <w:marBottom w:val="0"/>
          <w:divBdr>
            <w:top w:val="none" w:sz="0" w:space="0" w:color="auto"/>
            <w:left w:val="none" w:sz="0" w:space="0" w:color="auto"/>
            <w:bottom w:val="none" w:sz="0" w:space="0" w:color="auto"/>
            <w:right w:val="none" w:sz="0" w:space="0" w:color="auto"/>
          </w:divBdr>
        </w:div>
      </w:divsChild>
    </w:div>
    <w:div w:id="1248808492">
      <w:marLeft w:val="0"/>
      <w:marRight w:val="0"/>
      <w:marTop w:val="0"/>
      <w:marBottom w:val="0"/>
      <w:divBdr>
        <w:top w:val="none" w:sz="0" w:space="0" w:color="auto"/>
        <w:left w:val="none" w:sz="0" w:space="0" w:color="auto"/>
        <w:bottom w:val="none" w:sz="0" w:space="0" w:color="auto"/>
        <w:right w:val="none" w:sz="0" w:space="0" w:color="auto"/>
      </w:divBdr>
      <w:divsChild>
        <w:div w:id="1984310971">
          <w:marLeft w:val="0"/>
          <w:marRight w:val="0"/>
          <w:marTop w:val="240"/>
          <w:marBottom w:val="0"/>
          <w:divBdr>
            <w:top w:val="none" w:sz="0" w:space="0" w:color="auto"/>
            <w:left w:val="none" w:sz="0" w:space="0" w:color="auto"/>
            <w:bottom w:val="none" w:sz="0" w:space="0" w:color="auto"/>
            <w:right w:val="none" w:sz="0" w:space="0" w:color="auto"/>
          </w:divBdr>
          <w:divsChild>
            <w:div w:id="87184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6816">
      <w:marLeft w:val="0"/>
      <w:marRight w:val="0"/>
      <w:marTop w:val="0"/>
      <w:marBottom w:val="0"/>
      <w:divBdr>
        <w:top w:val="none" w:sz="0" w:space="0" w:color="auto"/>
        <w:left w:val="none" w:sz="0" w:space="0" w:color="auto"/>
        <w:bottom w:val="none" w:sz="0" w:space="0" w:color="auto"/>
        <w:right w:val="none" w:sz="0" w:space="0" w:color="auto"/>
      </w:divBdr>
      <w:divsChild>
        <w:div w:id="1534197980">
          <w:marLeft w:val="0"/>
          <w:marRight w:val="0"/>
          <w:marTop w:val="160"/>
          <w:marBottom w:val="0"/>
          <w:divBdr>
            <w:top w:val="none" w:sz="0" w:space="0" w:color="auto"/>
            <w:left w:val="none" w:sz="0" w:space="0" w:color="auto"/>
            <w:bottom w:val="none" w:sz="0" w:space="0" w:color="auto"/>
            <w:right w:val="none" w:sz="0" w:space="0" w:color="auto"/>
          </w:divBdr>
          <w:divsChild>
            <w:div w:id="1929650641">
              <w:marLeft w:val="0"/>
              <w:marRight w:val="0"/>
              <w:marTop w:val="0"/>
              <w:marBottom w:val="0"/>
              <w:divBdr>
                <w:top w:val="none" w:sz="0" w:space="0" w:color="auto"/>
                <w:left w:val="none" w:sz="0" w:space="0" w:color="auto"/>
                <w:bottom w:val="none" w:sz="0" w:space="0" w:color="auto"/>
                <w:right w:val="none" w:sz="0" w:space="0" w:color="auto"/>
              </w:divBdr>
            </w:div>
          </w:divsChild>
        </w:div>
        <w:div w:id="872111893">
          <w:marLeft w:val="0"/>
          <w:marRight w:val="0"/>
          <w:marTop w:val="0"/>
          <w:marBottom w:val="0"/>
          <w:divBdr>
            <w:top w:val="none" w:sz="0" w:space="0" w:color="auto"/>
            <w:left w:val="none" w:sz="0" w:space="0" w:color="auto"/>
            <w:bottom w:val="none" w:sz="0" w:space="0" w:color="auto"/>
            <w:right w:val="none" w:sz="0" w:space="0" w:color="auto"/>
          </w:divBdr>
        </w:div>
      </w:divsChild>
    </w:div>
    <w:div w:id="1377393045">
      <w:marLeft w:val="0"/>
      <w:marRight w:val="0"/>
      <w:marTop w:val="120"/>
      <w:marBottom w:val="0"/>
      <w:divBdr>
        <w:top w:val="none" w:sz="0" w:space="0" w:color="auto"/>
        <w:left w:val="none" w:sz="0" w:space="0" w:color="auto"/>
        <w:bottom w:val="none" w:sz="0" w:space="0" w:color="auto"/>
        <w:right w:val="none" w:sz="0" w:space="0" w:color="auto"/>
      </w:divBdr>
      <w:divsChild>
        <w:div w:id="1200052289">
          <w:marLeft w:val="0"/>
          <w:marRight w:val="0"/>
          <w:marTop w:val="0"/>
          <w:marBottom w:val="0"/>
          <w:divBdr>
            <w:top w:val="none" w:sz="0" w:space="0" w:color="auto"/>
            <w:left w:val="none" w:sz="0" w:space="0" w:color="auto"/>
            <w:bottom w:val="none" w:sz="0" w:space="0" w:color="auto"/>
            <w:right w:val="none" w:sz="0" w:space="0" w:color="auto"/>
          </w:divBdr>
        </w:div>
      </w:divsChild>
    </w:div>
    <w:div w:id="1475874144">
      <w:marLeft w:val="0"/>
      <w:marRight w:val="0"/>
      <w:marTop w:val="0"/>
      <w:marBottom w:val="0"/>
      <w:divBdr>
        <w:top w:val="none" w:sz="0" w:space="0" w:color="auto"/>
        <w:left w:val="none" w:sz="0" w:space="0" w:color="auto"/>
        <w:bottom w:val="none" w:sz="0" w:space="0" w:color="auto"/>
        <w:right w:val="none" w:sz="0" w:space="0" w:color="auto"/>
      </w:divBdr>
      <w:divsChild>
        <w:div w:id="514883355">
          <w:marLeft w:val="0"/>
          <w:marRight w:val="0"/>
          <w:marTop w:val="160"/>
          <w:marBottom w:val="0"/>
          <w:divBdr>
            <w:top w:val="none" w:sz="0" w:space="0" w:color="auto"/>
            <w:left w:val="none" w:sz="0" w:space="0" w:color="auto"/>
            <w:bottom w:val="none" w:sz="0" w:space="0" w:color="auto"/>
            <w:right w:val="none" w:sz="0" w:space="0" w:color="auto"/>
          </w:divBdr>
          <w:divsChild>
            <w:div w:id="5929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0769">
      <w:marLeft w:val="0"/>
      <w:marRight w:val="0"/>
      <w:marTop w:val="360"/>
      <w:marBottom w:val="0"/>
      <w:divBdr>
        <w:top w:val="none" w:sz="0" w:space="0" w:color="auto"/>
        <w:left w:val="none" w:sz="0" w:space="0" w:color="auto"/>
        <w:bottom w:val="none" w:sz="0" w:space="0" w:color="auto"/>
        <w:right w:val="none" w:sz="0" w:space="0" w:color="auto"/>
      </w:divBdr>
      <w:divsChild>
        <w:div w:id="1122841469">
          <w:marLeft w:val="0"/>
          <w:marRight w:val="0"/>
          <w:marTop w:val="0"/>
          <w:marBottom w:val="0"/>
          <w:divBdr>
            <w:top w:val="none" w:sz="0" w:space="0" w:color="auto"/>
            <w:left w:val="none" w:sz="0" w:space="0" w:color="auto"/>
            <w:bottom w:val="none" w:sz="0" w:space="0" w:color="auto"/>
            <w:right w:val="none" w:sz="0" w:space="0" w:color="auto"/>
          </w:divBdr>
        </w:div>
      </w:divsChild>
    </w:div>
    <w:div w:id="1520924380">
      <w:marLeft w:val="0"/>
      <w:marRight w:val="0"/>
      <w:marTop w:val="120"/>
      <w:marBottom w:val="0"/>
      <w:divBdr>
        <w:top w:val="none" w:sz="0" w:space="0" w:color="auto"/>
        <w:left w:val="none" w:sz="0" w:space="0" w:color="auto"/>
        <w:bottom w:val="none" w:sz="0" w:space="0" w:color="auto"/>
        <w:right w:val="none" w:sz="0" w:space="0" w:color="auto"/>
      </w:divBdr>
      <w:divsChild>
        <w:div w:id="1166823495">
          <w:marLeft w:val="0"/>
          <w:marRight w:val="0"/>
          <w:marTop w:val="0"/>
          <w:marBottom w:val="0"/>
          <w:divBdr>
            <w:top w:val="none" w:sz="0" w:space="0" w:color="auto"/>
            <w:left w:val="none" w:sz="0" w:space="0" w:color="auto"/>
            <w:bottom w:val="none" w:sz="0" w:space="0" w:color="auto"/>
            <w:right w:val="none" w:sz="0" w:space="0" w:color="auto"/>
          </w:divBdr>
        </w:div>
      </w:divsChild>
    </w:div>
    <w:div w:id="1564751166">
      <w:marLeft w:val="0"/>
      <w:marRight w:val="0"/>
      <w:marTop w:val="0"/>
      <w:marBottom w:val="0"/>
      <w:divBdr>
        <w:top w:val="none" w:sz="0" w:space="0" w:color="auto"/>
        <w:left w:val="none" w:sz="0" w:space="0" w:color="auto"/>
        <w:bottom w:val="none" w:sz="0" w:space="0" w:color="auto"/>
        <w:right w:val="none" w:sz="0" w:space="0" w:color="auto"/>
      </w:divBdr>
      <w:divsChild>
        <w:div w:id="1324311488">
          <w:marLeft w:val="0"/>
          <w:marRight w:val="0"/>
          <w:marTop w:val="160"/>
          <w:marBottom w:val="0"/>
          <w:divBdr>
            <w:top w:val="none" w:sz="0" w:space="0" w:color="auto"/>
            <w:left w:val="none" w:sz="0" w:space="0" w:color="auto"/>
            <w:bottom w:val="none" w:sz="0" w:space="0" w:color="auto"/>
            <w:right w:val="none" w:sz="0" w:space="0" w:color="auto"/>
          </w:divBdr>
          <w:divsChild>
            <w:div w:id="1404179770">
              <w:marLeft w:val="0"/>
              <w:marRight w:val="0"/>
              <w:marTop w:val="0"/>
              <w:marBottom w:val="0"/>
              <w:divBdr>
                <w:top w:val="none" w:sz="0" w:space="0" w:color="auto"/>
                <w:left w:val="none" w:sz="0" w:space="0" w:color="auto"/>
                <w:bottom w:val="none" w:sz="0" w:space="0" w:color="auto"/>
                <w:right w:val="none" w:sz="0" w:space="0" w:color="auto"/>
              </w:divBdr>
            </w:div>
          </w:divsChild>
        </w:div>
        <w:div w:id="2077239074">
          <w:marLeft w:val="0"/>
          <w:marRight w:val="0"/>
          <w:marTop w:val="0"/>
          <w:marBottom w:val="0"/>
          <w:divBdr>
            <w:top w:val="none" w:sz="0" w:space="0" w:color="auto"/>
            <w:left w:val="none" w:sz="0" w:space="0" w:color="auto"/>
            <w:bottom w:val="none" w:sz="0" w:space="0" w:color="auto"/>
            <w:right w:val="none" w:sz="0" w:space="0" w:color="auto"/>
          </w:divBdr>
          <w:divsChild>
            <w:div w:id="1236548091">
              <w:marLeft w:val="0"/>
              <w:marRight w:val="0"/>
              <w:marTop w:val="40"/>
              <w:marBottom w:val="0"/>
              <w:divBdr>
                <w:top w:val="none" w:sz="0" w:space="0" w:color="auto"/>
                <w:left w:val="none" w:sz="0" w:space="0" w:color="auto"/>
                <w:bottom w:val="none" w:sz="0" w:space="0" w:color="auto"/>
                <w:right w:val="none" w:sz="0" w:space="0" w:color="auto"/>
              </w:divBdr>
              <w:divsChild>
                <w:div w:id="14128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77900">
      <w:marLeft w:val="0"/>
      <w:marRight w:val="0"/>
      <w:marTop w:val="0"/>
      <w:marBottom w:val="0"/>
      <w:divBdr>
        <w:top w:val="none" w:sz="0" w:space="0" w:color="auto"/>
        <w:left w:val="none" w:sz="0" w:space="0" w:color="auto"/>
        <w:bottom w:val="none" w:sz="0" w:space="0" w:color="auto"/>
        <w:right w:val="none" w:sz="0" w:space="0" w:color="auto"/>
      </w:divBdr>
      <w:divsChild>
        <w:div w:id="1303199336">
          <w:marLeft w:val="0"/>
          <w:marRight w:val="0"/>
          <w:marTop w:val="160"/>
          <w:marBottom w:val="0"/>
          <w:divBdr>
            <w:top w:val="none" w:sz="0" w:space="0" w:color="auto"/>
            <w:left w:val="none" w:sz="0" w:space="0" w:color="auto"/>
            <w:bottom w:val="none" w:sz="0" w:space="0" w:color="auto"/>
            <w:right w:val="none" w:sz="0" w:space="0" w:color="auto"/>
          </w:divBdr>
          <w:divsChild>
            <w:div w:id="2061132575">
              <w:marLeft w:val="0"/>
              <w:marRight w:val="0"/>
              <w:marTop w:val="0"/>
              <w:marBottom w:val="0"/>
              <w:divBdr>
                <w:top w:val="none" w:sz="0" w:space="0" w:color="auto"/>
                <w:left w:val="none" w:sz="0" w:space="0" w:color="auto"/>
                <w:bottom w:val="none" w:sz="0" w:space="0" w:color="auto"/>
                <w:right w:val="none" w:sz="0" w:space="0" w:color="auto"/>
              </w:divBdr>
            </w:div>
          </w:divsChild>
        </w:div>
        <w:div w:id="612590937">
          <w:marLeft w:val="0"/>
          <w:marRight w:val="0"/>
          <w:marTop w:val="0"/>
          <w:marBottom w:val="0"/>
          <w:divBdr>
            <w:top w:val="none" w:sz="0" w:space="0" w:color="auto"/>
            <w:left w:val="none" w:sz="0" w:space="0" w:color="auto"/>
            <w:bottom w:val="none" w:sz="0" w:space="0" w:color="auto"/>
            <w:right w:val="none" w:sz="0" w:space="0" w:color="auto"/>
          </w:divBdr>
        </w:div>
        <w:div w:id="801579585">
          <w:marLeft w:val="0"/>
          <w:marRight w:val="0"/>
          <w:marTop w:val="0"/>
          <w:marBottom w:val="0"/>
          <w:divBdr>
            <w:top w:val="none" w:sz="0" w:space="0" w:color="auto"/>
            <w:left w:val="none" w:sz="0" w:space="0" w:color="auto"/>
            <w:bottom w:val="none" w:sz="0" w:space="0" w:color="auto"/>
            <w:right w:val="none" w:sz="0" w:space="0" w:color="auto"/>
          </w:divBdr>
        </w:div>
        <w:div w:id="946041801">
          <w:marLeft w:val="0"/>
          <w:marRight w:val="0"/>
          <w:marTop w:val="0"/>
          <w:marBottom w:val="0"/>
          <w:divBdr>
            <w:top w:val="none" w:sz="0" w:space="0" w:color="auto"/>
            <w:left w:val="none" w:sz="0" w:space="0" w:color="auto"/>
            <w:bottom w:val="none" w:sz="0" w:space="0" w:color="auto"/>
            <w:right w:val="none" w:sz="0" w:space="0" w:color="auto"/>
          </w:divBdr>
        </w:div>
        <w:div w:id="368605593">
          <w:marLeft w:val="0"/>
          <w:marRight w:val="0"/>
          <w:marTop w:val="0"/>
          <w:marBottom w:val="0"/>
          <w:divBdr>
            <w:top w:val="none" w:sz="0" w:space="0" w:color="auto"/>
            <w:left w:val="none" w:sz="0" w:space="0" w:color="auto"/>
            <w:bottom w:val="none" w:sz="0" w:space="0" w:color="auto"/>
            <w:right w:val="none" w:sz="0" w:space="0" w:color="auto"/>
          </w:divBdr>
          <w:divsChild>
            <w:div w:id="1691106310">
              <w:marLeft w:val="0"/>
              <w:marRight w:val="0"/>
              <w:marTop w:val="120"/>
              <w:marBottom w:val="0"/>
              <w:divBdr>
                <w:top w:val="none" w:sz="0" w:space="0" w:color="auto"/>
                <w:left w:val="none" w:sz="0" w:space="0" w:color="auto"/>
                <w:bottom w:val="none" w:sz="0" w:space="0" w:color="auto"/>
                <w:right w:val="none" w:sz="0" w:space="0" w:color="auto"/>
              </w:divBdr>
              <w:divsChild>
                <w:div w:id="246697715">
                  <w:marLeft w:val="0"/>
                  <w:marRight w:val="0"/>
                  <w:marTop w:val="0"/>
                  <w:marBottom w:val="0"/>
                  <w:divBdr>
                    <w:top w:val="none" w:sz="0" w:space="0" w:color="auto"/>
                    <w:left w:val="none" w:sz="0" w:space="0" w:color="auto"/>
                    <w:bottom w:val="none" w:sz="0" w:space="0" w:color="auto"/>
                    <w:right w:val="none" w:sz="0" w:space="0" w:color="auto"/>
                  </w:divBdr>
                </w:div>
              </w:divsChild>
            </w:div>
            <w:div w:id="1752199431">
              <w:marLeft w:val="0"/>
              <w:marRight w:val="0"/>
              <w:marTop w:val="120"/>
              <w:marBottom w:val="0"/>
              <w:divBdr>
                <w:top w:val="none" w:sz="0" w:space="0" w:color="auto"/>
                <w:left w:val="none" w:sz="0" w:space="0" w:color="auto"/>
                <w:bottom w:val="none" w:sz="0" w:space="0" w:color="auto"/>
                <w:right w:val="none" w:sz="0" w:space="0" w:color="auto"/>
              </w:divBdr>
              <w:divsChild>
                <w:div w:id="1473867550">
                  <w:marLeft w:val="0"/>
                  <w:marRight w:val="0"/>
                  <w:marTop w:val="0"/>
                  <w:marBottom w:val="0"/>
                  <w:divBdr>
                    <w:top w:val="none" w:sz="0" w:space="0" w:color="auto"/>
                    <w:left w:val="none" w:sz="0" w:space="0" w:color="auto"/>
                    <w:bottom w:val="none" w:sz="0" w:space="0" w:color="auto"/>
                    <w:right w:val="none" w:sz="0" w:space="0" w:color="auto"/>
                  </w:divBdr>
                </w:div>
              </w:divsChild>
            </w:div>
            <w:div w:id="1172183933">
              <w:marLeft w:val="0"/>
              <w:marRight w:val="0"/>
              <w:marTop w:val="120"/>
              <w:marBottom w:val="0"/>
              <w:divBdr>
                <w:top w:val="none" w:sz="0" w:space="0" w:color="auto"/>
                <w:left w:val="none" w:sz="0" w:space="0" w:color="auto"/>
                <w:bottom w:val="none" w:sz="0" w:space="0" w:color="auto"/>
                <w:right w:val="none" w:sz="0" w:space="0" w:color="auto"/>
              </w:divBdr>
              <w:divsChild>
                <w:div w:id="12978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9980">
          <w:marLeft w:val="0"/>
          <w:marRight w:val="0"/>
          <w:marTop w:val="0"/>
          <w:marBottom w:val="0"/>
          <w:divBdr>
            <w:top w:val="none" w:sz="0" w:space="0" w:color="auto"/>
            <w:left w:val="none" w:sz="0" w:space="0" w:color="auto"/>
            <w:bottom w:val="none" w:sz="0" w:space="0" w:color="auto"/>
            <w:right w:val="none" w:sz="0" w:space="0" w:color="auto"/>
          </w:divBdr>
        </w:div>
        <w:div w:id="962031248">
          <w:marLeft w:val="0"/>
          <w:marRight w:val="0"/>
          <w:marTop w:val="0"/>
          <w:marBottom w:val="0"/>
          <w:divBdr>
            <w:top w:val="none" w:sz="0" w:space="0" w:color="auto"/>
            <w:left w:val="none" w:sz="0" w:space="0" w:color="auto"/>
            <w:bottom w:val="none" w:sz="0" w:space="0" w:color="auto"/>
            <w:right w:val="none" w:sz="0" w:space="0" w:color="auto"/>
          </w:divBdr>
        </w:div>
        <w:div w:id="858784270">
          <w:marLeft w:val="0"/>
          <w:marRight w:val="0"/>
          <w:marTop w:val="0"/>
          <w:marBottom w:val="0"/>
          <w:divBdr>
            <w:top w:val="none" w:sz="0" w:space="0" w:color="auto"/>
            <w:left w:val="none" w:sz="0" w:space="0" w:color="auto"/>
            <w:bottom w:val="none" w:sz="0" w:space="0" w:color="auto"/>
            <w:right w:val="none" w:sz="0" w:space="0" w:color="auto"/>
          </w:divBdr>
        </w:div>
      </w:divsChild>
    </w:div>
    <w:div w:id="1666981269">
      <w:marLeft w:val="0"/>
      <w:marRight w:val="0"/>
      <w:marTop w:val="120"/>
      <w:marBottom w:val="0"/>
      <w:divBdr>
        <w:top w:val="none" w:sz="0" w:space="0" w:color="auto"/>
        <w:left w:val="none" w:sz="0" w:space="0" w:color="auto"/>
        <w:bottom w:val="none" w:sz="0" w:space="0" w:color="auto"/>
        <w:right w:val="none" w:sz="0" w:space="0" w:color="auto"/>
      </w:divBdr>
      <w:divsChild>
        <w:div w:id="298852010">
          <w:marLeft w:val="0"/>
          <w:marRight w:val="0"/>
          <w:marTop w:val="0"/>
          <w:marBottom w:val="0"/>
          <w:divBdr>
            <w:top w:val="none" w:sz="0" w:space="0" w:color="auto"/>
            <w:left w:val="none" w:sz="0" w:space="0" w:color="auto"/>
            <w:bottom w:val="none" w:sz="0" w:space="0" w:color="auto"/>
            <w:right w:val="none" w:sz="0" w:space="0" w:color="auto"/>
          </w:divBdr>
        </w:div>
      </w:divsChild>
    </w:div>
    <w:div w:id="1753621551">
      <w:marLeft w:val="0"/>
      <w:marRight w:val="0"/>
      <w:marTop w:val="120"/>
      <w:marBottom w:val="0"/>
      <w:divBdr>
        <w:top w:val="none" w:sz="0" w:space="0" w:color="auto"/>
        <w:left w:val="none" w:sz="0" w:space="0" w:color="auto"/>
        <w:bottom w:val="none" w:sz="0" w:space="0" w:color="auto"/>
        <w:right w:val="none" w:sz="0" w:space="0" w:color="auto"/>
      </w:divBdr>
      <w:divsChild>
        <w:div w:id="1125852162">
          <w:marLeft w:val="0"/>
          <w:marRight w:val="0"/>
          <w:marTop w:val="0"/>
          <w:marBottom w:val="0"/>
          <w:divBdr>
            <w:top w:val="none" w:sz="0" w:space="0" w:color="auto"/>
            <w:left w:val="none" w:sz="0" w:space="0" w:color="auto"/>
            <w:bottom w:val="none" w:sz="0" w:space="0" w:color="auto"/>
            <w:right w:val="none" w:sz="0" w:space="0" w:color="auto"/>
          </w:divBdr>
        </w:div>
      </w:divsChild>
    </w:div>
    <w:div w:id="1854302640">
      <w:marLeft w:val="0"/>
      <w:marRight w:val="0"/>
      <w:marTop w:val="0"/>
      <w:marBottom w:val="0"/>
      <w:divBdr>
        <w:top w:val="none" w:sz="0" w:space="0" w:color="auto"/>
        <w:left w:val="none" w:sz="0" w:space="0" w:color="auto"/>
        <w:bottom w:val="none" w:sz="0" w:space="0" w:color="auto"/>
        <w:right w:val="none" w:sz="0" w:space="0" w:color="auto"/>
      </w:divBdr>
      <w:divsChild>
        <w:div w:id="504126848">
          <w:marLeft w:val="0"/>
          <w:marRight w:val="0"/>
          <w:marTop w:val="160"/>
          <w:marBottom w:val="0"/>
          <w:divBdr>
            <w:top w:val="none" w:sz="0" w:space="0" w:color="auto"/>
            <w:left w:val="none" w:sz="0" w:space="0" w:color="auto"/>
            <w:bottom w:val="none" w:sz="0" w:space="0" w:color="auto"/>
            <w:right w:val="none" w:sz="0" w:space="0" w:color="auto"/>
          </w:divBdr>
          <w:divsChild>
            <w:div w:id="380249221">
              <w:marLeft w:val="0"/>
              <w:marRight w:val="0"/>
              <w:marTop w:val="0"/>
              <w:marBottom w:val="0"/>
              <w:divBdr>
                <w:top w:val="none" w:sz="0" w:space="0" w:color="auto"/>
                <w:left w:val="none" w:sz="0" w:space="0" w:color="auto"/>
                <w:bottom w:val="none" w:sz="0" w:space="0" w:color="auto"/>
                <w:right w:val="none" w:sz="0" w:space="0" w:color="auto"/>
              </w:divBdr>
            </w:div>
          </w:divsChild>
        </w:div>
        <w:div w:id="1119687184">
          <w:marLeft w:val="0"/>
          <w:marRight w:val="0"/>
          <w:marTop w:val="0"/>
          <w:marBottom w:val="0"/>
          <w:divBdr>
            <w:top w:val="none" w:sz="0" w:space="0" w:color="auto"/>
            <w:left w:val="none" w:sz="0" w:space="0" w:color="auto"/>
            <w:bottom w:val="none" w:sz="0" w:space="0" w:color="auto"/>
            <w:right w:val="none" w:sz="0" w:space="0" w:color="auto"/>
          </w:divBdr>
        </w:div>
      </w:divsChild>
    </w:div>
    <w:div w:id="1923686040">
      <w:marLeft w:val="0"/>
      <w:marRight w:val="0"/>
      <w:marTop w:val="120"/>
      <w:marBottom w:val="0"/>
      <w:divBdr>
        <w:top w:val="none" w:sz="0" w:space="0" w:color="auto"/>
        <w:left w:val="none" w:sz="0" w:space="0" w:color="auto"/>
        <w:bottom w:val="none" w:sz="0" w:space="0" w:color="auto"/>
        <w:right w:val="none" w:sz="0" w:space="0" w:color="auto"/>
      </w:divBdr>
      <w:divsChild>
        <w:div w:id="964962827">
          <w:marLeft w:val="0"/>
          <w:marRight w:val="0"/>
          <w:marTop w:val="0"/>
          <w:marBottom w:val="0"/>
          <w:divBdr>
            <w:top w:val="none" w:sz="0" w:space="0" w:color="auto"/>
            <w:left w:val="none" w:sz="0" w:space="0" w:color="auto"/>
            <w:bottom w:val="none" w:sz="0" w:space="0" w:color="auto"/>
            <w:right w:val="none" w:sz="0" w:space="0" w:color="auto"/>
          </w:divBdr>
        </w:div>
      </w:divsChild>
    </w:div>
    <w:div w:id="1926069584">
      <w:marLeft w:val="0"/>
      <w:marRight w:val="0"/>
      <w:marTop w:val="0"/>
      <w:marBottom w:val="0"/>
      <w:divBdr>
        <w:top w:val="none" w:sz="0" w:space="0" w:color="auto"/>
        <w:left w:val="none" w:sz="0" w:space="0" w:color="auto"/>
        <w:bottom w:val="none" w:sz="0" w:space="0" w:color="auto"/>
        <w:right w:val="none" w:sz="0" w:space="0" w:color="auto"/>
      </w:divBdr>
      <w:divsChild>
        <w:div w:id="1879202936">
          <w:marLeft w:val="0"/>
          <w:marRight w:val="0"/>
          <w:marTop w:val="160"/>
          <w:marBottom w:val="0"/>
          <w:divBdr>
            <w:top w:val="none" w:sz="0" w:space="0" w:color="auto"/>
            <w:left w:val="none" w:sz="0" w:space="0" w:color="auto"/>
            <w:bottom w:val="none" w:sz="0" w:space="0" w:color="auto"/>
            <w:right w:val="none" w:sz="0" w:space="0" w:color="auto"/>
          </w:divBdr>
          <w:divsChild>
            <w:div w:id="1507868119">
              <w:marLeft w:val="0"/>
              <w:marRight w:val="0"/>
              <w:marTop w:val="0"/>
              <w:marBottom w:val="0"/>
              <w:divBdr>
                <w:top w:val="none" w:sz="0" w:space="0" w:color="auto"/>
                <w:left w:val="none" w:sz="0" w:space="0" w:color="auto"/>
                <w:bottom w:val="none" w:sz="0" w:space="0" w:color="auto"/>
                <w:right w:val="none" w:sz="0" w:space="0" w:color="auto"/>
              </w:divBdr>
            </w:div>
          </w:divsChild>
        </w:div>
        <w:div w:id="911159285">
          <w:marLeft w:val="0"/>
          <w:marRight w:val="0"/>
          <w:marTop w:val="0"/>
          <w:marBottom w:val="0"/>
          <w:divBdr>
            <w:top w:val="none" w:sz="0" w:space="0" w:color="auto"/>
            <w:left w:val="none" w:sz="0" w:space="0" w:color="auto"/>
            <w:bottom w:val="none" w:sz="0" w:space="0" w:color="auto"/>
            <w:right w:val="none" w:sz="0" w:space="0" w:color="auto"/>
          </w:divBdr>
        </w:div>
      </w:divsChild>
    </w:div>
    <w:div w:id="1941520068">
      <w:marLeft w:val="0"/>
      <w:marRight w:val="0"/>
      <w:marTop w:val="120"/>
      <w:marBottom w:val="0"/>
      <w:divBdr>
        <w:top w:val="none" w:sz="0" w:space="0" w:color="auto"/>
        <w:left w:val="none" w:sz="0" w:space="0" w:color="auto"/>
        <w:bottom w:val="none" w:sz="0" w:space="0" w:color="auto"/>
        <w:right w:val="none" w:sz="0" w:space="0" w:color="auto"/>
      </w:divBdr>
      <w:divsChild>
        <w:div w:id="1628319477">
          <w:marLeft w:val="0"/>
          <w:marRight w:val="0"/>
          <w:marTop w:val="0"/>
          <w:marBottom w:val="0"/>
          <w:divBdr>
            <w:top w:val="none" w:sz="0" w:space="0" w:color="auto"/>
            <w:left w:val="none" w:sz="0" w:space="0" w:color="auto"/>
            <w:bottom w:val="none" w:sz="0" w:space="0" w:color="auto"/>
            <w:right w:val="none" w:sz="0" w:space="0" w:color="auto"/>
          </w:divBdr>
        </w:div>
      </w:divsChild>
    </w:div>
    <w:div w:id="2065373361">
      <w:marLeft w:val="0"/>
      <w:marRight w:val="0"/>
      <w:marTop w:val="120"/>
      <w:marBottom w:val="0"/>
      <w:divBdr>
        <w:top w:val="none" w:sz="0" w:space="0" w:color="auto"/>
        <w:left w:val="none" w:sz="0" w:space="0" w:color="auto"/>
        <w:bottom w:val="none" w:sz="0" w:space="0" w:color="auto"/>
        <w:right w:val="none" w:sz="0" w:space="0" w:color="auto"/>
      </w:divBdr>
      <w:divsChild>
        <w:div w:id="1378815727">
          <w:marLeft w:val="0"/>
          <w:marRight w:val="0"/>
          <w:marTop w:val="0"/>
          <w:marBottom w:val="0"/>
          <w:divBdr>
            <w:top w:val="none" w:sz="0" w:space="0" w:color="auto"/>
            <w:left w:val="none" w:sz="0" w:space="0" w:color="auto"/>
            <w:bottom w:val="none" w:sz="0" w:space="0" w:color="auto"/>
            <w:right w:val="none" w:sz="0" w:space="0" w:color="auto"/>
          </w:divBdr>
        </w:div>
      </w:divsChild>
    </w:div>
    <w:div w:id="2108036726">
      <w:marLeft w:val="0"/>
      <w:marRight w:val="0"/>
      <w:marTop w:val="0"/>
      <w:marBottom w:val="0"/>
      <w:divBdr>
        <w:top w:val="none" w:sz="0" w:space="0" w:color="auto"/>
        <w:left w:val="none" w:sz="0" w:space="0" w:color="auto"/>
        <w:bottom w:val="none" w:sz="0" w:space="0" w:color="auto"/>
        <w:right w:val="none" w:sz="0" w:space="0" w:color="auto"/>
      </w:divBdr>
      <w:divsChild>
        <w:div w:id="566379103">
          <w:marLeft w:val="0"/>
          <w:marRight w:val="0"/>
          <w:marTop w:val="160"/>
          <w:marBottom w:val="0"/>
          <w:divBdr>
            <w:top w:val="none" w:sz="0" w:space="0" w:color="auto"/>
            <w:left w:val="none" w:sz="0" w:space="0" w:color="auto"/>
            <w:bottom w:val="none" w:sz="0" w:space="0" w:color="auto"/>
            <w:right w:val="none" w:sz="0" w:space="0" w:color="auto"/>
          </w:divBdr>
          <w:divsChild>
            <w:div w:id="473254951">
              <w:marLeft w:val="0"/>
              <w:marRight w:val="0"/>
              <w:marTop w:val="0"/>
              <w:marBottom w:val="0"/>
              <w:divBdr>
                <w:top w:val="none" w:sz="0" w:space="0" w:color="auto"/>
                <w:left w:val="none" w:sz="0" w:space="0" w:color="auto"/>
                <w:bottom w:val="none" w:sz="0" w:space="0" w:color="auto"/>
                <w:right w:val="none" w:sz="0" w:space="0" w:color="auto"/>
              </w:divBdr>
            </w:div>
          </w:divsChild>
        </w:div>
        <w:div w:id="1784694202">
          <w:marLeft w:val="0"/>
          <w:marRight w:val="0"/>
          <w:marTop w:val="0"/>
          <w:marBottom w:val="0"/>
          <w:divBdr>
            <w:top w:val="none" w:sz="0" w:space="0" w:color="auto"/>
            <w:left w:val="none" w:sz="0" w:space="0" w:color="auto"/>
            <w:bottom w:val="none" w:sz="0" w:space="0" w:color="auto"/>
            <w:right w:val="none" w:sz="0" w:space="0" w:color="auto"/>
          </w:divBdr>
          <w:divsChild>
            <w:div w:id="1845899594">
              <w:marLeft w:val="0"/>
              <w:marRight w:val="0"/>
              <w:marTop w:val="40"/>
              <w:marBottom w:val="0"/>
              <w:divBdr>
                <w:top w:val="none" w:sz="0" w:space="0" w:color="auto"/>
                <w:left w:val="none" w:sz="0" w:space="0" w:color="auto"/>
                <w:bottom w:val="none" w:sz="0" w:space="0" w:color="auto"/>
                <w:right w:val="none" w:sz="0" w:space="0" w:color="auto"/>
              </w:divBdr>
              <w:divsChild>
                <w:div w:id="18191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ph-ex32_2.htm" TargetMode="External"/><Relationship Id="rId3" Type="http://schemas.openxmlformats.org/officeDocument/2006/relationships/webSettings" Target="webSettings.xml"/><Relationship Id="rId7" Type="http://schemas.openxmlformats.org/officeDocument/2006/relationships/hyperlink" Target="sph-ex32_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sph-ex31_2.htm" TargetMode="External"/><Relationship Id="rId5" Type="http://schemas.openxmlformats.org/officeDocument/2006/relationships/hyperlink" Target="sph-ex31_1.htm" TargetMode="External"/><Relationship Id="rId10" Type="http://schemas.openxmlformats.org/officeDocument/2006/relationships/theme" Target="theme/theme1.xml"/><Relationship Id="rId4" Type="http://schemas.openxmlformats.org/officeDocument/2006/relationships/hyperlink" Target="https://www.sec.gov/Archives/edgar/data/1005210/000156459022003746/sph-ex101_341.htm"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27235</Words>
  <Characters>155242</Characters>
  <Application>Microsoft Office Word</Application>
  <DocSecurity>0</DocSecurity>
  <Lines>1293</Lines>
  <Paragraphs>364</Paragraphs>
  <ScaleCrop>false</ScaleCrop>
  <Company/>
  <LinksUpToDate>false</LinksUpToDate>
  <CharactersWithSpaces>182113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10-Q</dc:title>
  <dc:subject/>
  <dc:creator>Chongjian.Yue</dc:creator>
  <cp:keywords/>
  <dc:description/>
  <cp:lastModifiedBy>Yue Chongjian</cp:lastModifiedBy>
  <cp:revision>1</cp:revision>
  <dcterms:created xsi:type="dcterms:W3CDTF">2024-01-04T16:00:00Z</dcterms:created>
  <dcterms:modified xsi:type="dcterms:W3CDTF">2024-01-04T16:00:00Z</dcterms:modified>
</cp:coreProperties>
</file>